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34409-2025 i Kungsbacka kommun</w:t>
      </w:r>
    </w:p>
    <w:p>
      <w:r>
        <w:t>Detta dokument behandlar höga naturvärden i avverkningsanmälan A 34409-2025 i Kungsbacka kommun. Denna avverkningsanmälan inkom 2025-07-08 15:19:06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tallbit (VU, §4), björktrast (NT, §4), entita (NT, §4), nordfladdermus (NT, §4a), rödvingetrast (NT, §4), spillkråka (NT, §4), talltita (NT, §4), murgröna (S), dvärgpipistrell (§4a), fiskgjuse (§4), gröngöling (§4), kungsfågel (§4), mindre flugsnappare (§4) och vattenfladdermus (§4a).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6778"/>
            <wp:docPr id="1" name="Picture 1"/>
            <wp:cNvGraphicFramePr>
              <a:graphicFrameLocks noChangeAspect="1"/>
            </wp:cNvGraphicFramePr>
            <a:graphic>
              <a:graphicData uri="http://schemas.openxmlformats.org/drawingml/2006/picture">
                <pic:pic>
                  <pic:nvPicPr>
                    <pic:cNvPr id="0" name="A 34409-2025 karta.png"/>
                    <pic:cNvPicPr/>
                  </pic:nvPicPr>
                  <pic:blipFill>
                    <a:blip r:embed="rId16"/>
                    <a:stretch>
                      <a:fillRect/>
                    </a:stretch>
                  </pic:blipFill>
                  <pic:spPr>
                    <a:xfrm>
                      <a:off x="0" y="0"/>
                      <a:ext cx="5486400" cy="3936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6373109, E 322786 i SWEREF 99 TM.</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Fridlysta arter</w:t>
      </w:r>
    </w:p>
    <w:p>
      <w:r>
        <w:t>Följande fridlysta arter har sina livsmiljöer och växtplatser i den avverkningsanmälda skogen: tallbit (VU, §4), björktrast (NT, §4), entita (NT, §4), nordfladdermus (NT, §4a), rödvingetrast (NT, §4), spillkråka (NT, §4), talltita (NT, §4), dvärgpipistrell (§4a), fiskgjuse (§4), gröngöling (§4), kungsfågel (§4), mindre flugsnappare (§4) och vattenfladdermus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