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38308-2025 i Kungsbacka kommun</w:t>
      </w:r>
    </w:p>
    <w:p>
      <w:r>
        <w:t>Detta dokument behandlar höga naturvärden i avverkningsanmälan A 38308-2025 i Kungsbacka kommun som inkom 2025-08-14 och omfattar 6,0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stare (VU, §4), grönsångare (NT, §4), kråka (§4), kungsfågel (§4) och svartvit flugsnappare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347642"/>
            <wp:docPr id="1" name="Picture 1"/>
            <wp:cNvGraphicFramePr>
              <a:graphicFrameLocks noChangeAspect="1"/>
            </wp:cNvGraphicFramePr>
            <a:graphic>
              <a:graphicData uri="http://schemas.openxmlformats.org/drawingml/2006/picture">
                <pic:pic>
                  <pic:nvPicPr>
                    <pic:cNvPr id="0" name="A 38308-2025 karta.png"/>
                    <pic:cNvPicPr/>
                  </pic:nvPicPr>
                  <pic:blipFill>
                    <a:blip r:embed="rId16"/>
                    <a:stretch>
                      <a:fillRect/>
                    </a:stretch>
                  </pic:blipFill>
                  <pic:spPr>
                    <a:xfrm>
                      <a:off x="0" y="0"/>
                      <a:ext cx="5486400" cy="4347642"/>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6375282, E 322384 i SWEREF 99 TM.</w:t>
      </w:r>
    </w:p>
    <w:p>
      <w:pPr>
        <w:pStyle w:val="Heading2"/>
      </w:pPr>
      <w:r>
        <w:t>Fridlysta arter</w:t>
      </w:r>
    </w:p>
    <w:p>
      <w:r>
        <w:t>Följande fridlysta arter har sina livsmiljöer och växtplatser i den avverkningsanmälda skogen: stare (VU, §4), grönsångare (NT, §4), kråka (§4), kungsfågel (§4) och svartvit flugsnappare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