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6906-2025 i Kungsbacka kommun</w:t>
      </w:r>
    </w:p>
    <w:p>
      <w:r>
        <w:t>Detta dokument behandlar höga naturvärden i avverkningsanmälan A 6906-2025 i Kungsbacka kommun. Denna avverkningsanmälan inkom 2025-02-13 00:00:00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klockgentiana (EN, §8), hedjohannesört (VU, §8) och lopplummer (aggregat)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7935"/>
            <wp:docPr id="1" name="Picture 1"/>
            <wp:cNvGraphicFramePr>
              <a:graphicFrameLocks noChangeAspect="1"/>
            </wp:cNvGraphicFramePr>
            <a:graphic>
              <a:graphicData uri="http://schemas.openxmlformats.org/drawingml/2006/picture">
                <pic:pic>
                  <pic:nvPicPr>
                    <pic:cNvPr id="0" name="A 6906-2025 karta.png"/>
                    <pic:cNvPicPr/>
                  </pic:nvPicPr>
                  <pic:blipFill>
                    <a:blip r:embed="rId16"/>
                    <a:stretch>
                      <a:fillRect/>
                    </a:stretch>
                  </pic:blipFill>
                  <pic:spPr>
                    <a:xfrm>
                      <a:off x="0" y="0"/>
                      <a:ext cx="5486400" cy="35579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6363302, E 332132 i SWEREF 99 TM.</w:t>
      </w:r>
    </w:p>
    <w:p>
      <w:pPr>
        <w:pStyle w:val="Heading1"/>
      </w:pPr>
      <w:r>
        <w:t>Fridlysta arter</w:t>
      </w:r>
    </w:p>
    <w:p>
      <w:r>
        <w:t>Följande fridlysta arter har sina livsmiljöer och växtplatser i den avverkningsanmälda skogen: klockgentiana (EN, §8), hedjohannesört (VU, §8) och lopplummer (aggregat)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