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63596-2021 i Härryda kommun</w:t>
      </w:r>
    </w:p>
    <w:p>
      <w:r>
        <w:t>Detta klagomål behandlar höga naturvärden i avverkningsanmälan A 63596-2021 i Härryda kommun som inkom 2021-11-08 och omfattar 0,7 ha.</w:t>
      </w:r>
    </w:p>
    <w:p>
      <w:pPr>
        <w:pStyle w:val="Caption"/>
      </w:pPr>
      <w:r>
        <w:drawing>
          <wp:inline xmlns:a="http://schemas.openxmlformats.org/drawingml/2006/main" xmlns:pic="http://schemas.openxmlformats.org/drawingml/2006/picture">
            <wp:extent cx="5486400" cy="4555043"/>
            <wp:docPr id="1" name="Picture 1"/>
            <wp:cNvGraphicFramePr>
              <a:graphicFrameLocks noChangeAspect="1"/>
            </wp:cNvGraphicFramePr>
            <a:graphic>
              <a:graphicData uri="http://schemas.openxmlformats.org/drawingml/2006/picture">
                <pic:pic>
                  <pic:nvPicPr>
                    <pic:cNvPr id="0" name="A 63596-2021 karta.png"/>
                    <pic:cNvPicPr/>
                  </pic:nvPicPr>
                  <pic:blipFill>
                    <a:blip r:embed="rId16"/>
                    <a:stretch>
                      <a:fillRect/>
                    </a:stretch>
                  </pic:blipFill>
                  <pic:spPr>
                    <a:xfrm>
                      <a:off x="0" y="0"/>
                      <a:ext cx="5486400" cy="4555043"/>
                    </a:xfrm>
                    <a:prstGeom prst="rect"/>
                  </pic:spPr>
                </pic:pic>
              </a:graphicData>
            </a:graphic>
          </wp:inline>
        </w:drawing>
      </w:r>
    </w:p>
    <w:p>
      <w:pPr>
        <w:pStyle w:val="Caption"/>
        <w:spacing w:after="240"/>
      </w:pPr>
      <w:r>
        <w:t>Figur 1. Fyndplatser för naturvårdsarter i och inom 8 meter från avverkningsanmälan. Markörer utan svart kant är placerade på fyndplatsen. Markörer med svart kant är placerade vid sidan av fyndplatsen och har ett svart streck som visar fyndplatsens exakta position. Kartans mittpunktskoordinat är N 6391862, E 338280 i SWEREF 99 TM.</w:t>
      </w:r>
    </w:p>
    <w:p>
      <w:r>
        <w:t>I och inom 8 meter från avverkningsanmälan finns fynd av 3 naturvårdsarter, varav 1 är rödlistad, 2 är typiska (T) och 2 är signalarter (S): stubbtrådmossa (NT), flagellkvastmossa (S, T) och kornknutmossa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Stubbtrådmossa (NT)</w:t>
      </w:r>
      <w:r>
        <w:t xml:space="preserve"> är en bladlevermossa som växer uteslutande på murken ved gärna tillsammans med vedsäckmossa (VU) i fuktig barrskog och arten har sin tyngdpunkt i södra och mellersta Sverige. Genom att arten inte klarar kalavverkning, till stor del fortfarande finns mest i produktionsskog med lång trädkontinuitet gör avverkningar av denna typ av skog att artens population kommer att fortsätta att minska. Alla skogsskötselåtgärder på eller i omedelbar närhet av artens lokaler utgör ett hot. Aktuella lokaler bör undantas från rationell skogsskötsel. För att klara arten på sikt måste mängden död ved i landets granskogar öka väsentligt (SLU Artdatabanken, 2026).</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Flagellkvastmossa är typisk art för </w:t>
      </w:r>
      <w:r>
        <w:rPr>
          <w:i/>
        </w:rPr>
        <w:t xml:space="preserve">9010 Taiga </w:t>
      </w:r>
      <w:r>
        <w:t>och</w:t>
      </w:r>
      <w:r>
        <w:rPr>
          <w:i/>
        </w:rPr>
        <w:t xml:space="preserve"> 9740 Skogsbevuxen myr </w:t>
      </w:r>
      <w:r>
        <w:t>(SLU Artdatabanken, 2024; Nitare &amp; Skogsstyrelsen, 2019).</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Kornknutmossa är typisk art för </w:t>
      </w:r>
      <w:r>
        <w:rPr>
          <w:i/>
        </w:rPr>
        <w:t xml:space="preserve">9010 Taiga </w:t>
      </w:r>
      <w:r>
        <w:t>och</w:t>
      </w:r>
      <w:r>
        <w:rPr>
          <w:i/>
        </w:rPr>
        <w:t xml:space="preserve"> 9740 Skogsbevuxen myr</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