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25345-2019 i Härryda kommun</w:t>
      </w:r>
    </w:p>
    <w:p>
      <w:r>
        <w:t>Detta dokument behandlar höga naturvärden i avverkningsanmälan A 25345-2019 i Härryda kommun. Denna avverkningsanmälan inkom 2019-05-21 och omfattar 10,9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kattfotslav (S), rostfläck (S), kungsfågel (§4)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25345-2019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6395949, E 343143 i SWEREF 99 TM.</w:t>
      </w:r>
    </w:p>
    <w:p>
      <w:pPr>
        <w:pStyle w:val="Heading1"/>
      </w:pPr>
      <w:r>
        <w:t>Fridlysta arter</w:t>
      </w:r>
    </w:p>
    <w:p>
      <w:r>
        <w:t>Följande fridlysta arter har sina livsmiljöer och växtplatser i den avverkningsanmälda skogen: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