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7814-2021 i Härryda kommun</w:t>
      </w:r>
    </w:p>
    <w:p>
      <w:r>
        <w:t>Detta dokument behandlar höga naturvärden i avverkningsanmälan A 7814-2021 i Härryda kommun. Denna avverkningsanmälan inkom 2021-02-15 00:00:00 och omfattar 1,1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kattfotslav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73919"/>
            <wp:docPr id="1" name="Picture 1"/>
            <wp:cNvGraphicFramePr>
              <a:graphicFrameLocks noChangeAspect="1"/>
            </wp:cNvGraphicFramePr>
            <a:graphic>
              <a:graphicData uri="http://schemas.openxmlformats.org/drawingml/2006/picture">
                <pic:pic>
                  <pic:nvPicPr>
                    <pic:cNvPr id="0" name="A 7814-2021 karta.png"/>
                    <pic:cNvPicPr/>
                  </pic:nvPicPr>
                  <pic:blipFill>
                    <a:blip r:embed="rId16"/>
                    <a:stretch>
                      <a:fillRect/>
                    </a:stretch>
                  </pic:blipFill>
                  <pic:spPr>
                    <a:xfrm>
                      <a:off x="0" y="0"/>
                      <a:ext cx="5486400" cy="537391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6400801, E 335991 i SWEREF 99 TM.</w:t>
      </w:r>
    </w:p>
    <w:p>
      <w:r>
        <w:rPr>
          <w:b/>
        </w:rPr>
        <w:t xml:space="preserve">Kattfotslav </w:t>
      </w:r>
      <w:r>
        <w:t>är en mycket god signalart i hela sitt svenska utbredningsområde och skogsbestånd med kattfotslav är alltid värdefulla ur naturvårdssynpunkt. Arten indikerar dels ett mikroklimat med konstant hög luftfuktighet, dels kontinuitet av äldre träd och god trädslutenhet. Trots att den är vanligare i sydvästra Sverige växer den enbart i skogsbestånd med höga naturvärden. Den är känslig för skogliga ingrepp som kan förändra lokal- och mikroklimat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