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hedjohannesört (VU, §8), kambräken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mattlummer (§9),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