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46483-2023 i Stenungsunds kommun</w:t>
      </w:r>
    </w:p>
    <w:p>
      <w:r>
        <w:t>Denna tillsynsbegäran behandlar höga naturvärden i avverkningsanmälan A 46483-2023 i Stenungsunds kommun som inkom 2023-09-28 och omfattar 15,0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A 46483-2023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6444544, E 317835 i SWEREF 99 TM.</w:t>
      </w:r>
    </w:p>
    <w:p>
      <w:r>
        <w:t>I och inom 23 meter från avverkningsanmälan finns fynd av 17 naturvårdsarter, varav 7 är rödlistade, 12 är fridlysta, 5 är typiska (T) och 2 är signalarter (S): goliatmusseron (VU, T), grönfink (VU, §4), dropptaggsvamp (NT, T), duvhök (NT, §4), entita (NT, T, §4), talltita (NT, §4), älg (NT), stor revmossa (S), västlig hakmossa (S), järpe (T, §4), spillkråka (T, §4), grönsiska (§4), kråka (§4), kungsfågel (§4), orre (§4), sångsvan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dropptaggsvamp (NT, T), entita (NT, T, §4),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