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46487-2023 i Stenungsunds kommun</w:t>
      </w:r>
    </w:p>
    <w:p>
      <w:r>
        <w:t>Detta dokument behandlar höga naturvärden i avverkningsanmälan A 46487-2023 i Stenungsunds kommun. Denna avverkningsanmälan inkom 2023-09-28 00:00:00 och omfattar 3,4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19 naturvårdsarter hittats: duvhök (NT, §4), entita (NT, §4), gulsparv (NT, §4), kråka (NT, §4), nordfladdermus (NT, §4a), pilgrimsfalk (NT, §4), spillkråka (NT, §4), svartvit flugsnappare (NT, §4), talltita (NT, §4), stor revmossa (S), dvärgpipistrell (§4a), gråskimlig fladdermus (§4a), järnsparv (§4), kungsfågel (§4), större brunfladdermus (§4a), större vattensalamander (§4a), trana (§4), trollpipistrell (§4a) och vattenfladdermus (§4a).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2816"/>
            <wp:docPr id="1" name="Picture 1"/>
            <wp:cNvGraphicFramePr>
              <a:graphicFrameLocks noChangeAspect="1"/>
            </wp:cNvGraphicFramePr>
            <a:graphic>
              <a:graphicData uri="http://schemas.openxmlformats.org/drawingml/2006/picture">
                <pic:pic>
                  <pic:nvPicPr>
                    <pic:cNvPr id="0" name="A 46487-2023 karta.png"/>
                    <pic:cNvPicPr/>
                  </pic:nvPicPr>
                  <pic:blipFill>
                    <a:blip r:embed="rId16"/>
                    <a:stretch>
                      <a:fillRect/>
                    </a:stretch>
                  </pic:blipFill>
                  <pic:spPr>
                    <a:xfrm>
                      <a:off x="0" y="0"/>
                      <a:ext cx="5486400" cy="48128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6444546, E 318029 i SWEREF 99 TM.</w:t>
      </w:r>
    </w:p>
    <w:p>
      <w:pPr>
        <w:pStyle w:val="Heading1"/>
      </w:pPr>
      <w:r>
        <w:t>Fridlysta arter</w:t>
      </w:r>
    </w:p>
    <w:p>
      <w:r>
        <w:t>Följande fridlysta arter har sina livsmiljöer och växtplatser i den avverkningsanmälda skogen: duvhök (NT, §4), entita (NT, §4), gulsparv (NT, §4), kråka (NT, §4), nordfladdermus (NT, §4a), pilgrimsfalk (NT, §4), spillkråka (NT, §4), svartvit flugsnappare (NT, §4), talltita (NT, §4), dvärgpipistrell (§4a), gråskimlig fladdermus (§4a), järnsparv (§4), kungsfågel (§4), större brunfladdermus (§4a), större vattensalamander (§4a), trana (§4), trollpipistrell (§4a) och vattenfladdermus (§4a).</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Duvhök (NT, §4)</w:t>
      </w:r>
      <w:r>
        <w:t xml:space="preserve"> är rödlistad som nära hotad (NT) och har minskat med 22 (0–48) % under de senaste 18 åren. Minskningstakten för den svenska populationen bedöms vara nära gränsvärdet för Sårbar (VU). (A2bc). (SLU Artdatabanken, 2021). Duvhöken jagar helst inne i äldre skog och missgynnas av stora hyggen och täta planteringar. De gamla fåglarna är i huvudsak stationära i sina revir (Skogsstyrelsen, 2016). Duvhöken är starkt bunden till skogsmark och boet läggs inne i tät, oftast äldre skog. Kantzoner mot öppen mark undviks och duvhöken är därför känsligare för slutavverkning än flera andra rovfåglar. Duvhöken är beroende av insynsskyddade boplatser. Friställande av boträd eller avverkning så att boplatsen blir exponerad mot öppen mark, medför att platsen överges (Skogsstyrelsen, 2016). Eftersom duvhöken helst häckar i gammal skog, är dess häckningsplatser i princip alltid mer eller mindre hotade av skogsbruk och avverkningar (SLU Artdatabanken, 2021).</w:t>
      </w:r>
    </w:p>
    <w:p>
      <w:r>
        <w:rPr>
          <w:b/>
        </w:rPr>
        <w:t>Dvärgpipistrell (§4a)</w:t>
      </w:r>
      <w:r>
        <w:t xml:space="preserve"> omfattas av bilaga 4 EU:s art- och habitatdirektiv vilket innebär ett strikt skydd där arten och dess livsmiljöer ska bevaras.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 xml:space="preserve">Större vattensalamander (§4a) </w:t>
      </w:r>
      <w:r>
        <w:t>är strikt skyddad enligt EU:s art- och habitatdirektiv vilket innebär att hela dess livsmiljö ska bevaras.  Med undantag från lekperioden lever den större vattensalamandern på land och i skogslandskapet hittar man den framför allt i äldre skog med stor strukturell variation och gott om död ved där djuren håller till under murkna trädstammar och stubbar, i smågnagargångar, under mossbeklädda stenar och i blockterräng. Vuxna salamandrar har konstaterats uppehålla sig inom 300 meter från lekvattnet och finska studier antyder att det behövs åtminstone ett hektar lämplig landmiljö nära lekvattnet.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Trollpipistrell (§4a)</w:t>
      </w:r>
      <w:r>
        <w:t xml:space="preserve"> omfattas av bilaga 4 EU:s art- och habitatdirektiv vilket innebär ett strikt skydd för arten och dess livsmiljöer. Trollpipistrell förekommer i gles barr- och lövskog, i trädbärande beteshagar, i kantzoner mellan skog och odlingsmark, i närheten av sjöar och vattendrag samt i bymiljöer. Den undviker stora öppna miljöer såsom åkrar och hyggen och gynnas av ett landskap med mycket lövträd, vatten och hålträd. Under året utnyttjas många olika miljöer och ett effektivt bevarandearbete måste därför utgå från ett landskapsekologiskt perspektiv. Ett varierat landskap med hög andel äldre lövträd, småvatten, sumpskogar, öppna våtmarker, ängar och betesmarker, är gynnsamt för insekter vilket skapar förutsättningar för fladdermöss att finna tillräckligt med föda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19 naturvårdsarter varav 9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Duvhök – ekologi samt krav på livsmiljön</w:t>
      </w:r>
    </w:p>
    <w:p>
      <w:r>
        <w:t>Duvhök (NT, §4) är rödlistad som nära hotad (NT) och har minskat med 22 (0–48) % under de senaste 18 åren. Minskningstakten för den svenska populationen bedöms vara nära gränsvärdet för Sårbar (VU). (A2bc). (SLU Artdatabanken, 2021).</w:t>
      </w:r>
    </w:p>
    <w:p>
      <w:r>
        <w:t>Duvhöken är starkt bunden till skogsmark, såväl för häckning som födosök. Den påträffas oftast i större skogsområden med äldre skog, men kan ibland även häcka i dungar i områden dominerade av öppen mark. De gamla fåglarna är i huvudsak stationära i sina revir. Duvhöken jagar helst inne i äldre skog och missgynnas av stora hyggen och täta planteringar (Skogsstyrelsen, 2016).</w:t>
      </w:r>
    </w:p>
    <w:p>
      <w:r>
        <w:t>Boet läggs inne i tät, oftast äldre skog. Kantzoner mot öppen mark undviks och duvhöken är därför känsligare för slutavverkning än flera andra rovfåglar. Boträdet måste vara grovgrenigt och är oftast en äldre gran eller tall, i sydligaste Sverige är bok vanligt. Duvhöken är beroende av insynsskyddade boplatser. Friställande av boträd eller avverkning så att boplatsen är exponerad mot öppen mark, medför att platsen överges. Samma bo kan användas flera år i rad, men likt andra rovfåglar har den normalt ett eller flera alternativa bon (Skogsstyrelsen, 2016). Eftersom duvhöken helst häckar i gammal skog, är dess häckningsplatser i princip alltid mer eller mindre hotade av skogsbruk och avverkningar (SLU Artdatabanken, 2021).</w:t>
      </w:r>
    </w:p>
    <w:p>
      <w:r>
        <w:t>Den viktigaste begränsande faktorn för duvhökspopulationen i stort är födan och ett allvarligare problem är därför den av skogsbruket orsakade storskaliga omvandlingen och utarmningen av skogslandskapet, som kan påverka såväl duvhökens möjlighet att jaga som förekomsten av viktiga byten. Duvhökens jaktteknik gör den beroende av landskapets utformning och sammansättning och dess preferens för gammal skog tyder på att den är anpassad till att jaga i skog som är “lagom” tät. I öppnare biotoper, till exempel hyggen, kommer dess jaktteknik inte till sin rätt och i tätare biotoper, t.ex. ungskogar, har den relativt stora duvhöken svårt att manövrera (SLU Artdatabanken, 2021).</w:t>
      </w:r>
    </w:p>
    <w:p>
      <w:r>
        <w:t>Minskningstakten har uppgått till 22 (0–48) % under de senaste 18 åren. Bedömningen baseras på ett för arten lämpligt abundansindex och minskad geografisk utbredning och/eller försämrad habitatkvalitet (allt yngre och tätare skogar vilket försvårar för boplacering samt försämrar jaktmöjligheterna). Minskningstakten för den svenska populationen bedöms vara nära gränsvärdet för Sårbar (VU). (A2bc).</w:t>
      </w:r>
    </w:p>
    <w:p>
      <w:pPr>
        <w:pStyle w:val="Heading2"/>
      </w:pPr>
      <w:r>
        <w:t>Referenser – duvhök</w:t>
      </w:r>
    </w:p>
    <w:p>
      <w:r>
        <w:t xml:space="preserve">Skogsstyrelsen, 2016. </w:t>
      </w:r>
      <w:r>
        <w:rPr>
          <w:i/>
        </w:rPr>
        <w:t xml:space="preserve">Duvhök – Vägledning för hänsyn till fåglar. </w:t>
      </w:r>
      <w:r>
        <w:t>https://www.skogsstyrelsen.se/globalassets/lag-och-tillsyn/artskydd/vagledningar-for-hansyn-till-faglar/duvhok-vagledning-hansyn2.pdf</w:t>
      </w:r>
    </w:p>
    <w:p>
      <w:r>
        <w:t xml:space="preserve">SLU Artdatabanken, 2021. </w:t>
      </w:r>
      <w:r>
        <w:rPr>
          <w:i/>
        </w:rPr>
        <w:t xml:space="preserve">Artfaktablad. Naturvård – artfakta. </w:t>
      </w:r>
      <w:r>
        <w:t>SLU Artdatabanken, Uppsala</w:t>
      </w:r>
    </w:p>
    <w:p>
      <w:pPr>
        <w:pStyle w:val="Heading1"/>
      </w:pPr>
      <w:r>
        <w:t>Dvärgpipistrell – ekologi samt krav på livsmiljön</w:t>
      </w:r>
    </w:p>
    <w:p>
      <w:r>
        <w:t>Dvärgpipistrell (§4a) omfattas av bilaga 4 EU:s art- och habitatdirektiv vilket innebär ett strikt skydd för arten och dess livsmiljöer. Arten förekommer i alla typer av glesare skogar men föredrar framförallt lövskog. Den födosöker inne bland träden och man hittar den i trädbärande beteshagar, i kantzoner mellan skog och odlingsmark, i närheten av vatten och i bymiljöer. Den undviker stora sammanhängande öppna miljöer såsom åkrar och hyggen.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dvärgpipistrell</w:t>
      </w:r>
    </w:p>
    <w:p>
      <w:r>
        <w:t xml:space="preserve">Skogsstyrelsen, 2016. </w:t>
      </w:r>
      <w:r>
        <w:rPr>
          <w:i/>
        </w:rPr>
        <w:t xml:space="preserve">Vägledning för hänsyn till pipistrell. </w:t>
      </w:r>
      <w:r>
        <w:t>Vägledningar och kunskapsstöd artskydd - Skogsstyrelsen</w:t>
      </w:r>
    </w:p>
    <w:p>
      <w:r>
        <w:t>SLU Artdatabanken, 2024.</w:t>
      </w:r>
      <w:r>
        <w:rPr>
          <w:i/>
        </w:rPr>
        <w:t xml:space="preserve">  Artfakta: dvärgpipistrell (Pipistrellus pygmaeus). </w:t>
      </w:r>
      <w:r>
        <w:t>https://artfakta.se/taxa/205995</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Större vattensalamander – ekologi samt krav på livsmiljön</w:t>
      </w:r>
    </w:p>
    <w:p>
      <w:r>
        <w:t>Större vattensalamander (§4a) är strikt skyddad enligt EU:s art- och habitatdirektiv vilket innebär att hela dess livsmiljö ska bevaras. Bevarandestatusen inom habitatdirektivet är dålig med negativ trend och arten omfattas av åtgärdsprogram för hotade arter (ÅGP). Arten förekommer i Götaland, större delen av Svealand, samt sparsamt i södra Norrlands kustland till södra Ångermanland. Med undantag från lekperioden lever den större vattensalamandern på land. I skogslandskapet hittar man den framför allt i äldre skog med stor strukturell variation och gott om död ved där djuren håller till under murkna trädstammar och stubbar, i smågnagargångar, under mossbeklädda stenar och i blockterräng, vanligen i fuktig huvudsakligen lövdominerad skog. I bl.a. mellersta och norra Värmlands skogsbygder, samt möjligen även i Bergslagen och Dalarna, förekommer arten i flera dystrofa tjärnar som delvis omges av vitmossegungfly samt äldre granblandskog. Större vattensalamander är känslig för uttorkning och undviker nya hyggen och andra öppna och torra miljöer, liksom tät ungskog utan fukthållande markskikt. Avverkning invid lekvatten bör helt undvikas i skogsområden som bedöms kunna utgöra landhabitat för arten och skogsområdena bör säkras och skötas på ett för arten optimalt sätt genom att t.ex. minimera gallring och avverkning och låta andelen löv öka (SLU Artdatabanken, 2024; Skogsstyrelsen, 2016; Malmgren, 2007).</w:t>
      </w:r>
    </w:p>
    <w:p>
      <w:r>
        <w:t>Starka populationer av större vattensalamander hittar man främst i ”småvattenlandskap”, alltså områden med en mosaik av lämpliga lekvatten och närliggande lämpliga landmiljöer. Det finns dock många exempel på isolerade lekvatten i skogstjärnar som hyser livskraftiga bestånd. Vuxna salamandrar har konstaterats uppehålla sig inom 300 meter från lekvattnet, men förflyttningar längre än en kilometer har noterats. Sannolikt kan framförallt unga individer sprida sig längre sträckor men kunskapen om deras spridningspotential är liten. Radiosändarstudier i Sverige och Frankrike har visat att djuren tycks vara mycket specifika i val av landmiljö samt att de har relativt små hemområden och vanligtvis inte vandrar så långt från sin hemdamm. En majoritet av individerna i en population tycks vandra mellan 10–100 m från det småvatten de reproducerar sig i, detta under förutsättning att lämpliga landmiljöer finns inom detta avstånd. Finska studier antyder att det behövs åtminstone ett hektar lämplig landmiljö nära lekvattnet (SLU Artdatabanken, 2024; Skogsstyrelsen, 2016; Malmgren, 2007).</w:t>
      </w:r>
    </w:p>
    <w:p>
      <w:r>
        <w:t>Den större vattensalamandern har under de senaste decennierna försvunnit från många lokaler utan att orsakerna därtill är exakt kända. Habitatförstöring anses utgöra den främsta orsaken till den observerade tendensen. Sannolikt utgör artens starka beroende av ett komplext småvattenlandskap – rika akvatiska miljöer sammanbundna med äldre skog via goda spridningsvägar – en stor del av förklaringen. Småvatten och lövskog med stor mängd död ved hör till de biotoper som i högst frekvens omdanats i 1900-talets landskapsförändring. Områden där båda dessa biotoper finns samlade är därför få. Dagens skogsbruk med korta omloppstider och mer ensartade bestånd leder till såväl minskad tillgång på lämpliga landmiljöer som försämrade spridningsmöjligheter. Bortröjning och bortgallring av lövträd, överföring av lövskog till barrskog, och bortrensning av död ved och olika former av markberedning påverkar kvaliteten på landmiljöerna negativt (SLU Artdatabanken, 2024; Skogsstyrelsen, 2016; Malmgren, 2007).</w:t>
      </w:r>
    </w:p>
    <w:p>
      <w:r>
        <w:t>Mycket pekar på att den större vattensalamandern kräver fungerande metapopulationsdynamik för långsiktig överlevnad i ett givet område. Vidare kan kravet på stabila landmiljöer vara ytterligare en faktor som gör arten särskilt känslig för störningar, exempelvis avverkning, i denna miljö. Som en följd av nämnda negativa faktorer hotas arten av fragmenteringseffekter. Dess spridningsförmåga är begränsad och om avstånden mellan lämpliga biotoper (och lekvatten) blir för stora isoleras populationerna med stor risk för lokalt utdöende som följd av slumpmässiga, miljöbetingade eller demografiska faktorer. I England har föreslagits att dammtätheten bör vara minst 0,7 dammar/km2 för att arten ska kunna sprida sig i tillräcklig utsträckning mellan lekvattnen. Goda förutsättningar för långsiktig överlevnad nås dock först vid dammtätheter närmare 4 dammar/km2, vilket studier från både England och Frankrike visat. (SLU Artdatabanken, 2024; Malmgren, 2007).</w:t>
      </w:r>
    </w:p>
    <w:p>
      <w:r>
        <w:t>Arten är beroende av förstärkt hänsyn. Fokus ska ligga på att bevara solbelysta småvatten för lek och fuktiga skogspartier för födosök och övervintring. Sväm- och sumpskog runt lekvattnen ska alltid sparas, liksom lämpliga födosöksmiljöer. För att skydda landmiljöerna och minska risken för negativ påverkan på vattenmiljön bör en tillräckligt bred kantzon med skog sparas runt lekvattnet. Det är viktigt att säkerställa att djuren obehindrat kan röra sig mellan lekvattnet och lämpliga födosöks- och uppväxtmiljöer. För att undvika att lokala populationer isoleras är det viktigt att inte skära av spridningsvägar och försvåra kontakt och spridning mellan befintliga och potentiella lekvatten. (Skogsstyrelsen, 2016; SLU Artdatabanken, 2024; Malmgren, 2007).</w:t>
      </w:r>
    </w:p>
    <w:p>
      <w:r>
        <w:t>Förekomster som befinns vara isolerade från andra populationer bör ges såväl skydd som omedelbara skötselåtgärder där särskild hänsyn tas till arten. Områden med lämpliga skogsområden och många småvatten där reproduktion äger rum, d.v.s. där många förekomster är samlade i ett begränsat område (metapopulationer), är av särskilt stort bevarandevärde och bör ges prioriterat skydd. Sannolikt har den större vattensalamanderns känslighet för störningar i dess miljöer underskattats, och om inte situationen förbättras kan artens hotstatus inom kort behöva uppgraderas. (SLU Artdatabanken, 2024).</w:t>
      </w:r>
    </w:p>
    <w:p>
      <w:pPr>
        <w:pStyle w:val="Heading2"/>
      </w:pPr>
      <w:r>
        <w:t>Referenser – större vattensalamander</w:t>
      </w:r>
    </w:p>
    <w:p>
      <w:r>
        <w:t xml:space="preserve">Malmgren, J., 2007. </w:t>
      </w:r>
      <w:r>
        <w:rPr>
          <w:i/>
        </w:rPr>
        <w:t>Åtgärdsprogram för bevarande av större vattensalamander och dess livsmiljöer (Triturus cristatus).</w:t>
      </w:r>
      <w:r>
        <w:t xml:space="preserve"> Rapport: 5636.  Naturvårdsverket. https://assets.artdatabanken.se/pdf/59197.pdf</w:t>
      </w:r>
    </w:p>
    <w:p>
      <w:r>
        <w:t xml:space="preserve">Skogsstyrelsen, 2016. </w:t>
      </w:r>
      <w:r>
        <w:rPr>
          <w:i/>
        </w:rPr>
        <w:t xml:space="preserve">Vägledning för hänsyn till större vattensalamander. </w:t>
      </w:r>
      <w:r>
        <w:t>Vägledningar och kunskapsstöd artskydd - Skogsstyrelsen</w:t>
      </w:r>
    </w:p>
    <w:p>
      <w:r>
        <w:t>SLU Artdatabanken, 2024.</w:t>
      </w:r>
      <w:r>
        <w:rPr>
          <w:i/>
        </w:rPr>
        <w:t xml:space="preserve">  Artfakta: större vattensalamander (Triturus cristatus). </w:t>
      </w:r>
      <w:r>
        <w:t>https://artfakta.se/taxa/100141</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