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46487-2023 i Stenungsunds kommun</w:t>
      </w:r>
    </w:p>
    <w:p>
      <w:r>
        <w:t>Detta dokument behandlar höga naturvärden i avverkningsanmälan A 46487-2023 i Stenungsunds kommun. Denna avverkningsanmälan inkom 2023-09-28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19 naturvårdsarter hittats: duvhök (NT, §4), entita (NT, §4), gulsparv (NT, §4), kråka (NT, §4), nordfladdermus (NT, §4a), pilgrimsfalk (NT, §4), spillkråka (NT, §4), svartvit flugsnappare (NT, §4), talltita (NT, §4), stor revmossa (S), dvärgpipistrell (§4a), gråskimlig fladdermus (§4a), järnsparv (§4), kungsfågel (§4), större brunfladdermus (§4a), större vattensalamander (§4a), trana (§4), trollpipistrell (§4a) och vattenfladdermus (§4a).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2816"/>
            <wp:docPr id="1" name="Picture 1"/>
            <wp:cNvGraphicFramePr>
              <a:graphicFrameLocks noChangeAspect="1"/>
            </wp:cNvGraphicFramePr>
            <a:graphic>
              <a:graphicData uri="http://schemas.openxmlformats.org/drawingml/2006/picture">
                <pic:pic>
                  <pic:nvPicPr>
                    <pic:cNvPr id="0" name="A 46487-2023 karta.png"/>
                    <pic:cNvPicPr/>
                  </pic:nvPicPr>
                  <pic:blipFill>
                    <a:blip r:embed="rId16"/>
                    <a:stretch>
                      <a:fillRect/>
                    </a:stretch>
                  </pic:blipFill>
                  <pic:spPr>
                    <a:xfrm>
                      <a:off x="0" y="0"/>
                      <a:ext cx="5486400" cy="4812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6444546, E 318029 i SWEREF 99 TM.</w:t>
      </w:r>
    </w:p>
    <w:p>
      <w:pPr>
        <w:pStyle w:val="Heading1"/>
      </w:pPr>
      <w:r>
        <w:t>Fridlysta arter</w:t>
      </w:r>
    </w:p>
    <w:p>
      <w:r>
        <w:t>Följande fridlysta arter har sina livsmiljöer och växtplatser i den avverkningsanmälda skogen: duvhök (NT, §4), entita (NT, §4), gulsparv (NT, §4), kråka (NT, §4), nordfladdermus (NT, §4a), pilgrimsfalk (NT, §4), spillkråka (NT, §4), svartvit flugsnappare (NT, §4), talltita (NT, §4), dvärgpipistrell (§4a), gråskimlig fladdermus (§4a), järnsparv (§4), kungsfågel (§4), större brunfladdermus (§4a), större vattensalamander (§4a), trana (§4), trollpipistrell (§4a) och vattenfladdermus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Gråskimlig fladdermus (§4a)</w:t>
      </w:r>
      <w:r>
        <w:t xml:space="preserve"> omfattas av bilaga 4 EU:s art- och habitatdirektiv vilket innebär ett strikt skydd där arten och dess livsmiljöer ska bevaras. Arten födosöker i halvöppna miljöer, t.ex. i glesa skogar, trädbärande betesmarker, brynmiljöer, parker och i anslutning till sjöar och vattendrag.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Pilgrimsfalk (VU, §4)</w:t>
      </w:r>
      <w:r>
        <w:t xml:space="preserve"> är rödlistad som sårbar och är upptagen i bilaga 1 EU:s fågeldirektiv. Den har minskat med 17.5 (15–20) % under de senaste 18 åren och minskningstakten överstiger gränsvärdet för sårbar (VU). Pilgrimsfalken häckar i branta klippväggar, där boet läggs på en öppen, svåråtkomlig klipphylla. Många av de bebodda klippstupen gränsar till skogsmark. Markhäckningar förekommer relativt frekvent på stora, blöta myrar i Norrbottens län. Tidigare var häckningar i risbon, framför allt i fiskgjusebon, förhållandevis vanligt men förekommer numera sällan. Lämna en skyddszon med träd mot häckningsplatsen (klippbranten), så att häckningsmiljön behålls oförändrad. Eventuell skog i själva rasbranten lämnas orörd. Vid häckning i risbon, avstå från avverkning inom 100 meter från boet.  Hänsyn bör tas även till äldre, dokumenterade häckningsplatser även om de för tillfället inte är i bruk (SLU Artdatabanken, 2026;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