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29367-2024 i Stenungsunds kommun</w:t>
      </w:r>
    </w:p>
    <w:p>
      <w:r>
        <w:t>Detta dokument behandlar höga naturvärden i avverkningsanmälan A 29367-2024 i Stenungsunds kommun. Denna avverkningsanmälan inkom 2024-07-10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desmeknopp (NT), springkorn (S) och strutbräken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7060"/>
            <wp:docPr id="1" name="Picture 1"/>
            <wp:cNvGraphicFramePr>
              <a:graphicFrameLocks noChangeAspect="1"/>
            </wp:cNvGraphicFramePr>
            <a:graphic>
              <a:graphicData uri="http://schemas.openxmlformats.org/drawingml/2006/picture">
                <pic:pic>
                  <pic:nvPicPr>
                    <pic:cNvPr id="0" name="A 29367-2024 karta.png"/>
                    <pic:cNvPicPr/>
                  </pic:nvPicPr>
                  <pic:blipFill>
                    <a:blip r:embed="rId16"/>
                    <a:stretch>
                      <a:fillRect/>
                    </a:stretch>
                  </pic:blipFill>
                  <pic:spPr>
                    <a:xfrm>
                      <a:off x="0" y="0"/>
                      <a:ext cx="5486400" cy="54270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6440449, E 319631 i SWEREF 99 TM.</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 xml:space="preserve">Springkorn </w:t>
      </w:r>
      <w:r>
        <w:t>är en kärlväxt som blir upp till en meter hög och kan bilda stora bestånd,</w:t>
      </w:r>
      <w:r>
        <w:rPr>
          <w:b/>
        </w:rPr>
        <w:t xml:space="preserve"> </w:t>
      </w:r>
      <w:r>
        <w:t>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värdväxt för de sällsynta och rödlistade fjärilsarterna gulryggig fältmätare (VU), nätådrig parkmätare (VU), springkornsrotvecklare (VU) och springkornsfältmätare (NT)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