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hedjohannesört (VU, §8), kambräken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hedjohannesört (VU, §8), mattlummer (§9),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