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46487-2023 i Stenungsunds kommun</w:t>
      </w:r>
    </w:p>
    <w:p>
      <w:r>
        <w:t>Denna tillsynsbegäran behandlar höga naturvärden i avverkningsanmälan A 46487-2023 i Stenungsunds kommun som inkom 2023-09-28 och omfattar 3,4 ha.</w:t>
      </w:r>
    </w:p>
    <w:p>
      <w:pPr>
        <w:pStyle w:val="Caption"/>
      </w:pPr>
      <w:r>
        <w:drawing>
          <wp:inline xmlns:a="http://schemas.openxmlformats.org/drawingml/2006/main" xmlns:pic="http://schemas.openxmlformats.org/drawingml/2006/picture">
            <wp:extent cx="5486400" cy="4708176"/>
            <wp:docPr id="1" name="Picture 1"/>
            <wp:cNvGraphicFramePr>
              <a:graphicFrameLocks noChangeAspect="1"/>
            </wp:cNvGraphicFramePr>
            <a:graphic>
              <a:graphicData uri="http://schemas.openxmlformats.org/drawingml/2006/picture">
                <pic:pic>
                  <pic:nvPicPr>
                    <pic:cNvPr id="0" name="A 46487-2023 karta.png"/>
                    <pic:cNvPicPr/>
                  </pic:nvPicPr>
                  <pic:blipFill>
                    <a:blip r:embed="rId16"/>
                    <a:stretch>
                      <a:fillRect/>
                    </a:stretch>
                  </pic:blipFill>
                  <pic:spPr>
                    <a:xfrm>
                      <a:off x="0" y="0"/>
                      <a:ext cx="5486400" cy="4708176"/>
                    </a:xfrm>
                    <a:prstGeom prst="rect"/>
                  </pic:spPr>
                </pic:pic>
              </a:graphicData>
            </a:graphic>
          </wp:inline>
        </w:drawing>
      </w:r>
    </w:p>
    <w:p>
      <w:pPr>
        <w:pStyle w:val="Caption"/>
        <w:spacing w:after="240"/>
      </w:pPr>
      <w:r>
        <w:t>Figur 1. Fyndplatser för naturvårdsarter i och inom 23 meter från avverkningsanmälan. Markörer utan svart kant är placerade på fyndplatsen. Markörer med svart kant är placerade vid sidan av fyndplatsen och har ett svart streck som visar fyndplatsens exakta position. Kartans mittpunktskoordinat är N 6444546, E 318029 i SWEREF 99 TM.</w:t>
      </w:r>
    </w:p>
    <w:p>
      <w:r>
        <w:t>I och inom 23 meter från avverkningsanmälan finns fynd av 30 naturvårdsarter, varav 13 är rödlistade, 27 är fridlysta, 4 är typiska (T) och 1 är signalart (S): goliatmusseron (VU, T), grönfink (VU, §4), pilgrimsfalk (VU, §4), brunlångöra (NT, §4a), duvhök (NT, §4), entita (NT, T, §4), gullpudra (NT, T), gulsparv (NT, §4), järnsparv (NT, §4), ladusvala (NT, §4), nordfladdermus (NT, §4a), sädesärla (NT, §4), talltita (NT, §4), stor revmossa (S), spillkråka (T, §4), dvärgpipistrell (§4a), gråskimlig fladdermus (§4a), gröngöling (§4), grönsiska (§4), kråka (§4), kungsfågel (§4), större brunfladdermus (§4a), större vattensalamander (§4a), svartvit flugsnappare (§4), trana (§4), trollpipistrell (§4a), vattenfladdermus (§4a), mindre vattensalamander (§6), vanlig groda (§6) och vanlig padda (§6).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Goliatmusseron är typisk art för </w:t>
      </w:r>
      <w:r>
        <w:rPr>
          <w:i/>
        </w:rPr>
        <w:t>9010 Taiga</w:t>
      </w:r>
      <w:r>
        <w:t xml:space="preserve"> (SLU Artdatabanken, 2024; Nitare &amp; Skogsstyrelsen, 2019; IUCN, 2020).</w:t>
      </w:r>
    </w:p>
    <w:p>
      <w:r>
        <w:rPr>
          <w:b/>
        </w:rPr>
        <w:t>Pilgrimsfalk (VU, §4)</w:t>
      </w:r>
      <w:r>
        <w:t xml:space="preserve"> är rödlistad som sårbar och är upptagen i bilaga 1 EU:s fågeldirektiv. Den har minskat med 17.5 (15–20) % under de senaste 18 åren och minskningstakten överstiger gränsvärdet för sårbar (VU). Pilgrimsfalken häckar i branta klippväggar, där boet läggs på en öppen, svåråtkomlig klipphylla. Många av de bebodda klippstupen gränsar till skogsmark. Markhäckningar förekommer relativt frekvent på stora, blöta myrar i Norrbottens län. Tidigare var häckningar i risbon, framför allt i fiskgjusebon, förhållandevis vanligt men förekommer numera sällan. Lämna en skyddszon med träd mot häckningsplatsen (klippbranten), så att häckningsmiljön behålls oförändrad. Eventuell skog i själva rasbranten lämnas orörd. Vid häckning i risbon, avstå från avverkning inom 100 meter från boet.  Hänsyn bör tas även till äldre, dokumenterade häckningsplatser även om de för tillfället inte är i bruk (SLU Artdatabanken, 2026; Skogsstyrelsen, 2016).</w:t>
      </w:r>
    </w:p>
    <w:p>
      <w:r>
        <w:rPr>
          <w:b/>
        </w:rPr>
        <w:t>Brunlångöra (NT, §4a)</w:t>
      </w:r>
      <w:r>
        <w:t xml:space="preserve"> omfattas av bilaga 4 EU:s art- och habitatdirektiv vilket innebär att arten och dess livsmiljöer är strikt skyddade. Brunlångöra förekommer framförallt inne i relativt tät skog men födosöker också i trädgårdar, parker och hagar. Den har minskat med 17,5 (5–30) % under de senaste 21 åren och minskningstakten för den svenska populationen bedöms vara nära gränsvärdet för Sårbar (VU). (A2bc). Brunlångöra är typisk art för </w:t>
      </w:r>
      <w:r>
        <w:rPr>
          <w:i/>
        </w:rPr>
        <w:t>8310 Grottor</w:t>
      </w:r>
      <w:r>
        <w:t xml:space="preserve"> och </w:t>
      </w:r>
      <w:r>
        <w:rPr>
          <w:i/>
        </w:rPr>
        <w:t>8330</w:t>
      </w:r>
      <w:r>
        <w:t xml:space="preserve"> (SLU Artdatabanken, 2024).</w:t>
      </w:r>
    </w:p>
    <w:p>
      <w:r>
        <w:rPr>
          <w:b/>
        </w:rPr>
        <w:t>Duvhök (NT, §4)</w:t>
      </w:r>
      <w:r>
        <w:t>, som är rödlistad som nära hotad, har minskat med 15 (0–30) % under de senaste 18 åren och minskningstakten för den svenska populationen bedöms vara nära gränsvärdet för sårbar (VU). Arten är starkt bunden till skogsmark och jagar helst inne i äldre skog. Den missgynnas av stora hyggen och täta planteringar. De gamla fåglarna är i huvudsak stationära i sina revir och boet läggs inne i tät, oftast äldre skog. Kantzoner mot öppen mark undviks och duvhöken, som är beroende av insynsskyddade boplatser, är därför känsligare för slutavverkning än flera andra rovfåglar. Friställande av boträd eller avverkning så att boplatsen blir exponerad mot öppen mark, medför att platsen överges. Eftersom duvhöken helst häckar i gammal skog, är dess häckningsplatser i princip alltid mer eller mindre hotade av skogsbruk och avverkningar (SLU Artdatabanken, 2026; Skogsstyrelsen 2016).</w:t>
      </w:r>
    </w:p>
    <w:p>
      <w:r>
        <w:rPr>
          <w:b/>
        </w:rPr>
        <w:t>Entita (NT, §4)</w:t>
      </w:r>
      <w:r>
        <w:t xml:space="preserve">, rödlistad som nära hotad och prioriterad art i Skogsvårdslagen, har häckningsrevir i anmälan. Minskningstakten innevarande 10-årsperiod beräknas till 20 (10–30) % och bedöms vara nära gränsvärdet för Sårbar (VU). Entitan är ortstrogen och reviret är i genomsnitt omkring 5 hektar, ibland uppåt 20 hektar stort. Entitan är en utpräglad lövskogsfågel som föredrar flerskiktade, gärna högvuxna skogar med inslag av äldre träd och välutvecklat buskskikt. Även alkärr med videsnår hör till de miljöer som utnyttjas. Arten häckar ofta i skogar som är svagt eller inte alls påverkade av skogsbruk, ofta rör det sig om värdekärnor med höga naturvärden. Entitan missgynnas av konventionellt skogsbruk och dess ortstrohet och dåliga spridningsförmåga gör den känslig för fragmentering. Entita är typisk art för </w:t>
      </w:r>
      <w:r>
        <w:rPr>
          <w:i/>
        </w:rPr>
        <w:t>9080 Lövsumpskog</w:t>
      </w:r>
      <w:r>
        <w:t xml:space="preserve"> (Skogsstyrelsen, 2016, SLU Artdatabanken, 2021).</w:t>
      </w:r>
    </w:p>
    <w:p>
      <w:r>
        <w:rPr>
          <w:b/>
        </w:rPr>
        <w:t>Gullpudra (NT)</w:t>
      </w:r>
      <w:r>
        <w:t xml:space="preserve"> växer sparsamt främst i källpåverkad sumpskog i södra och mellersta Sverige norrut till Jämtland-Västernorrland. Kommer in på rödlistan för första gången 2025 till följd av en stark minskning (&gt;50%) i Riksskogstaxeringens data. Minskningstakten överstiger gränsvärdet för Starkt hotad (EN) enligt A-kriteriet.  Då minskningen har en stor osäkerhet så nedgraderas rödlistekategorin två steg till Nära hotad. Gullpudra är typisk art för </w:t>
      </w:r>
      <w:r>
        <w:rPr>
          <w:i/>
        </w:rPr>
        <w:t xml:space="preserve">9080 Lövsumpskog, 7160 Källor och källkärr </w:t>
      </w:r>
      <w:r>
        <w:t>och</w:t>
      </w:r>
      <w:r>
        <w:rPr>
          <w:i/>
        </w:rPr>
        <w:t xml:space="preserve"> 7310 Aapamyrar</w:t>
      </w:r>
      <w:r>
        <w:t xml:space="preserve"> (SLU Artdatabanken, 2026).</w:t>
      </w:r>
    </w:p>
    <w:p>
      <w:r>
        <w:rPr>
          <w:b/>
        </w:rPr>
        <w:t>Nordfladdermus (NT, §4a)</w:t>
      </w:r>
      <w:r>
        <w:t xml:space="preserve"> omfattas av bilaga 4 EU:s art- och habitatdirektiv vilket innebär ett strikt skydd där arten och dess livsmiljöer ska bevaras. 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Nordfladdermus har minskat med 27,5 (5–50) % under de senaste 21 åren och minskningstakten för den svenska populationen bedöms vara nära gränsvärdet för Sårbar (VU). (A2bc) (SLU Artdatabanken, 2024;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Dvärgpipistrell (§4a)</w:t>
      </w:r>
      <w:r>
        <w:t xml:space="preserve"> omfattas av bilaga 4 EU:s art- och habitatdirektiv vilket innebär ett strikt skydd där arten och dess livsmiljöer ska bevaras.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rPr>
          <w:b/>
        </w:rPr>
        <w:t>Gråskimlig fladdermus (§4a)</w:t>
      </w:r>
      <w:r>
        <w:t xml:space="preserve"> omfattas av bilaga 4 EU:s art- och habitatdirektiv vilket innebär ett strikt skydd där arten och dess livsmiljöer ska bevaras. Arten födosöker i halvöppna miljöer, t.ex. i glesa skogar, trädbärande betesmarker, brynmiljöer, parker och i anslutning till sjöar och vattendrag.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Större brunfladdermus (§4a)</w:t>
      </w:r>
      <w:r>
        <w:t xml:space="preserve"> omfattas av bilaga 4 EU:s art- och habitatdirektiv vilket innebär ett strikt skydd där arten och dess livsmiljöer ska bevaras. Den lever huvudsakligen i större skogsområden med gamla lövträdsbestånd, där den jagar i alla typer av öppna och halvöppna miljöer, ofta över stora sjöar och vattendrag, strandängar, betes- och slåttermarker. Under året utnyttjar fladdermössen många olika miljöer och ett effektivt bevarandearbete måste därför utgå från ett landskapsekologiskt perspektiv. 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Gamla träd med grov bark, skador, håligheter eller döda delar bör lämnas och yngre träd (efterträdare) tillåtas finnas kvar och åldras för att säkra framtida förekomst av lämpliga yngelmiljöer. Övervintringsplatser måste skyddas effektivt från störningar (SLU Artdatabanken, 2024).</w:t>
      </w:r>
    </w:p>
    <w:p>
      <w:r>
        <w:rPr>
          <w:b/>
        </w:rPr>
        <w:t xml:space="preserve">Större vattensalamander (§4a) </w:t>
      </w:r>
      <w:r>
        <w:t>är strikt skyddad enligt EU:s art- och habitatdirektiv vilket innebär att hela dess livsmiljö ska bevaras.  Med undantag från lekperioden lever den större vattensalamandern på land och i skogslandskapet hittar man den framför allt i äldre skog med stor strukturell variation och gott om död ved där djuren håller till under murkna trädstammar och stubbar, i smågnagargångar, under mossbeklädda stenar och i blockterräng. Vuxna salamandrar har konstaterats uppehålla sig inom 300 meter från lekvattnet och finska studier antyder att det behövs åtminstone ett hektar lämplig landmiljö nära lekvattnet.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rPr>
          <w:b/>
        </w:rPr>
        <w:t>Trollpipistrell (§4a)</w:t>
      </w:r>
      <w:r>
        <w:t xml:space="preserve"> omfattas av bilaga 4 EU:s art- och habitatdirektiv vilket innebär ett strikt skydd för arten och dess livsmiljöer. Trollpipistrell förekommer i gles barr- och lövskog, i trädbärande beteshagar, i kantzoner mellan skog och odlingsmark, i närheten av sjöar och vattendrag samt i bymiljöer. Den undviker stora öppna miljöer såsom åkrar och hyggen och gynnas av ett landskap med mycket lövträd, vatten och hålträd. Under året utnyttjas många olika miljöer och ett effektivt bevarandearbete måste därför utgå från ett landskapsekologiskt perspektiv. Ett varierat landskap med hög andel äldre lövträd, småvatten, sumpskogar, öppna våtmarker, ängar och betesmarker, är gynnsamt för insekter vilket skapar förutsättningar för fladdermöss att finna tillräckligt med föda (SLU Artdatabanken, 2024).</w:t>
      </w:r>
    </w:p>
    <w:p>
      <w:r>
        <w:rPr>
          <w:b/>
        </w:rPr>
        <w:t>Vattenfladdermus (§4a)</w:t>
      </w:r>
      <w:r>
        <w:t xml:space="preserve"> omfattas av bilaga 4 EU:s art- och habitatdirektiv vilket innebär ett strikt skydd där arten och dess livsmiljöer ska bevaras. Arten förekommer mest vid vatten, vid både sjöar och vattendrag där den födosöker antingen tätt ovanför vattenytan eller i strandskog. Kolonin kan ligga ganska långt från vatten och den kan ibland jaga i skog flera kilometer från vatten. För vattenfladdermusen bör framförallt åtgärder planeras och vidtas i strandnära områden. Sumpskog och hålträd behöver bevaras och återskapas. Gamla träd med grov bark, skador, håligheter eller döda delar bör lämnas och yngre träd (efterträdare) tillåtas finnas kvar och åldras för att säkra framtida förekomst av lämpliga yngelmiljöer. Övervintringsplatser måste skyddas effektivt från störningar. Vattenfladdermus är typisk art för </w:t>
      </w:r>
      <w:r>
        <w:rPr>
          <w:i/>
        </w:rPr>
        <w:t>8310 Grottor</w:t>
      </w:r>
      <w:r>
        <w:t xml:space="preserve"> och </w:t>
      </w:r>
      <w:r>
        <w:rPr>
          <w:i/>
        </w:rPr>
        <w:t>8330 Havsgrottor</w:t>
      </w:r>
      <w:r>
        <w:t xml:space="preserve"> (SLU Artdatabanken, 2025).</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Brunlångöra – ekologi samt krav på livsmiljön</w:t>
      </w:r>
    </w:p>
    <w:p>
      <w:r>
        <w:t>Brunlångöra (NT, §4a) omfattas av bilaga 4 EU:s art- och habitatdirektiv vilket innebär ett strikt skydd för arten och dess livsmiljöer. Den har minskat med 17,5 (5–30) % under de senaste 21 åren och minskningstakten för den svenska populationen bedöms vara nära gränsvärdet för Sårbar (VU). (A2bc) (SLU Artdatabanken, 2024).</w:t>
      </w:r>
    </w:p>
    <w:p>
      <w:r>
        <w:t>Brunlångöra förekommer framförallt inne i relativt tät skog men födosöker också runt hus, i parker, trädgårdar och hagar. Arten har ett mycket karakteristiskt jaktbeteende då den flyger tätt intill vegetationen så som träd och buskar eller lågt över marken där den plockar insekter och spindlar direkt från blad, grenar och grässtrån. Arten kan till och med ryttla, stå stilla i luften med fladdrande vingar. Kolonierna finns ofta i stora byggnader som kyrkor, lador och magasin. Arten påverkas negativt av belysning, och en kraftig minskning har observerats på ett antal koloniplatser i södra Sverige (SLU Artdatabanken, 2024).</w:t>
      </w:r>
    </w:p>
    <w:p>
      <w:r>
        <w:t xml:space="preserve">Den viktigaste faktorn för om fladdermössen ska kunna leva i ett område är tillgången på föda i form av nattaktiva insekter. Ett bra hemområde måste erbjuda god födotillgång under hela aktivitetsperioden. Åtgärder som bevarar och gynnar en hög insektsproduktion är därför centrala. I ett varierat landskap med hög andel äldre lövträd, småvatten, sumpskogar, öppna våtmarker, ängar och betesmarker avlöser olika insektsgrupper varandra vilket gör att det hela tiden finns tillräckligt med föda. Brunlångöra är typisk art för </w:t>
      </w:r>
      <w:r>
        <w:rPr>
          <w:i/>
        </w:rPr>
        <w:t>8310 Grottor</w:t>
      </w:r>
      <w:r>
        <w:t xml:space="preserve"> och </w:t>
      </w:r>
      <w:r>
        <w:rPr>
          <w:i/>
        </w:rPr>
        <w:t>8330 Havsgrottor</w:t>
      </w:r>
      <w:r>
        <w:t xml:space="preserve"> (SLU Artdatabanken, 2024).</w:t>
      </w:r>
    </w:p>
    <w:p>
      <w:pPr>
        <w:pStyle w:val="Heading2"/>
      </w:pPr>
      <w:r>
        <w:t>Referenser – brunlångöra</w:t>
      </w:r>
    </w:p>
    <w:p>
      <w:r>
        <w:t>SLU Artdatabanken, 2024.</w:t>
      </w:r>
      <w:r>
        <w:rPr>
          <w:i/>
        </w:rPr>
        <w:t xml:space="preserve"> Artfakta: brunlångöra (Plecotus auritus). </w:t>
      </w:r>
      <w:r>
        <w:t>https://artfakta.se/taxa/206002</w:t>
      </w:r>
    </w:p>
    <w:p>
      <w:pPr>
        <w:pStyle w:val="Heading1"/>
      </w:pPr>
      <w:r>
        <w:t>Duvhök – ekologi samt krav på livsmiljön</w:t>
      </w:r>
    </w:p>
    <w:p>
      <w:r>
        <w:t>Duvhök (NT, §4) är rödlistad som nära hotad och fridlyst enligt 4§ artskyddsförordningen. Arten har minskat med 15 (0–30) % under de senaste 18 åren och minskningstakten för den svenska populationen bedöms vara nära gränsvärdet för sårbar (VU). Bedömningen baseras på direkt observation, ett för arten lämpligt abundansindex och minskad geografisk utbredning och/eller försämrad habitatkvalitet (allt yngre och tätare skogar vilket försvårar för boplacering samt missgynnar jaktmöjligheterna) (SLU Artdatabanken, 2026).</w:t>
      </w:r>
    </w:p>
    <w:p>
      <w:r>
        <w:t>Duvhöken är starkt bunden till skogsmark, såväl för häckning som födosök. Den påträffas oftast i större skogsområden med äldre skog, men kan ibland även häcka i dungar i områden dominerade av öppen mark. De gamla fåglarna är i huvudsak stationära i sina revir. Duvhöken jagar helst inne i äldre skog och missgynnas av stora hyggen och täta planteringar (Skogsstyrelsen, 2016).</w:t>
      </w:r>
    </w:p>
    <w:p>
      <w:r>
        <w:t>Boet läggs inne i tät, oftast äldre skog. Kantzoner mot öppen mark undviks och duvhöken är därför känsligare för slutavverkning än flera andra rovfåglar. Boträdet måste vara grovgrenigt och är oftast en äldre gran eller tall, i sydligaste Sverige är bok vanligt. Duvhöken är beroende av insynsskyddade boplatser. Friställande av boträd eller avverkning så att boplatsen är exponerad mot öppen mark, medför att platsen överges. Samma bo kan användas flera år i rad, men likt andra rovfåglar har den normalt ett eller flera alternativa bon (Skogsstyrelsen, 2016). Eftersom duvhöken helst häckar i gammal skog, är dess häckningsplatser i princip alltid mer eller mindre hotade av skogsbruk och avverkningar (SLU Artdatabanken, 2026).</w:t>
      </w:r>
    </w:p>
    <w:p>
      <w:r>
        <w:t>Den viktigaste begränsande faktorn för duvhökspopulationen i stort är födan och ett allvarligare problem är därför den av skogsbruket orsakade storskaliga omvandlingen och utarmningen av skogslandskapet, som kan påverka såväl duvhökens möjlighet att jaga som förekomsten av viktiga byten. Duvhökens jaktteknik gör den beroende av landskapets utformning och sammansättning och dess preferens för gammal skog tyder på att den är anpassad till att jaga i skog som är “lagom” tät. I öppnare biotoper, till exempel hyggen, kommer dess jaktteknik inte till sin rätt och i tätare biotoper, t.ex. ungskogar, har den relativt stora duvhöken svårt att manövrera (SLU Artdatabanken, 2026).</w:t>
      </w:r>
    </w:p>
    <w:p>
      <w:pPr>
        <w:pStyle w:val="Heading2"/>
      </w:pPr>
      <w:r>
        <w:t>Referenser – duvhök</w:t>
      </w:r>
    </w:p>
    <w:p>
      <w:r>
        <w:t xml:space="preserve">Skogsstyrelsen, 2016. </w:t>
      </w:r>
      <w:r>
        <w:rPr>
          <w:i/>
        </w:rPr>
        <w:t xml:space="preserve">Duvhök – Vägledning för hänsyn till fåglar. </w:t>
      </w:r>
      <w:r>
        <w:t>https://www.skogsstyrelsen.se/globalassets/lag-och-tillsyn/artskydd/vagledningar-for-hansyn-till-faglar/duvhok-vagledning-hansyn2.pdf</w:t>
      </w:r>
    </w:p>
    <w:p>
      <w:r>
        <w:t xml:space="preserve">SLU Artdatabanken, 2026. </w:t>
      </w:r>
      <w:r>
        <w:rPr>
          <w:i/>
        </w:rPr>
        <w:t xml:space="preserve">Artfaktablad. Naturvård – artfakta. </w:t>
      </w:r>
      <w:r>
        <w:t>SLU Artdatabanken, Uppsala</w:t>
      </w:r>
    </w:p>
    <w:p>
      <w:pPr>
        <w:pStyle w:val="Heading1"/>
      </w:pPr>
      <w:r>
        <w:t>Entita – ekologi samt krav på livsmiljön</w:t>
      </w:r>
    </w:p>
    <w:p>
      <w:r>
        <w:t xml:space="preserve">Entita (NT, §4) är rödlistad som nära hotad, fridlyst och prioriterad art enligt Skogsvårdslagen. Den omfattas av EU:s fågeldirektiv och är typisk art för </w:t>
      </w:r>
      <w:r>
        <w:rPr>
          <w:i/>
        </w:rPr>
        <w:t>9080 Lövsumpskog</w:t>
      </w:r>
      <w:r>
        <w:t>. Minskningstakten har uppgått till 20 (10–30) % under de senaste 10 åren och bedöms vara nära gränsvärdet för Sårbar (VU). (A2b) (SLU Artdatabanken, 2021).</w:t>
      </w:r>
    </w:p>
    <w:p>
      <w:r>
        <w:t>Entitan är en utpräglad lövskogsfågel som påträffas i ädellövskogar, strandskogar, ekhagar, igenväxande hagmarker, lövdungar, parker och trädgårdar. Den föredrar flerskiktade, gärna högvuxna skogar med inslag av äldre träd och med ett välutvecklat buskskikt. Ek- och hasseldominerade skogar och dungar, samt alkärr med videsnår, hör till de miljöer som ofta utnyttjas. I sydligaste Sverige är bokskog en viktig miljö (Skogsstyrelsen, 2016).</w:t>
      </w:r>
    </w:p>
    <w:p>
      <w:r>
        <w:t>Reviren är relativt stora för en småfågel, i genomsnitt omkring 5 hektar men de kan vara upp till 20 hektar. Entitan är en utpräglad stannfågel och rör sig inte långt från kläckningsplatsen; ungfåglarna sprider sig sällan mer än 5 km från födelseplatsen och etablerade fåglar lämnar därefter inte sitt revir (Skogsstyrelsen, 2016). Det häckande paret försvarar sitt revir året runt. De tillåter dock en grupp av ungfåglar att etablera sig inom deras revir och så bildas en vinterflock, vilket sker redan i juni månad. Även under kalla vintrar stannar entitan kvar inom sitt revir. Hittar man entitor vid sitt foderbord beror det på att fågelmatningen ligger inom ett entiterevir (SLU Artdatabanken, 2021). Arten är känslig för fragmentering och har svårt att etablera sig i isolerade skogsområden. Entitan är hålhäckare, men kan inte själv hacka fram sitt hål utan är beroende av miljöer som erbjuder naturliga hål (Skogsstyrelsen, 2016).</w:t>
      </w:r>
    </w:p>
    <w:p>
      <w:r>
        <w:t>Arten häckar ofta i skogar som är svagt eller inte alls påverkade av skogsbruk. Särskilt i Svealand ofta i skogar som har höga naturvärden och utgör skogliga värdekärnor. Entitan missgynnas av konventionellt skogsbruk genom minskad förekomst av risiga, flerskiktade skogar liksom av avverkning av lövträdsrika kantzoner. Entitans ortstrohet och dåliga spridningsförmåga gör den känslig för fragmentering (Skogsstyrelsen, 2016).</w:t>
      </w:r>
    </w:p>
    <w:p>
      <w:pPr>
        <w:pStyle w:val="Heading2"/>
      </w:pPr>
      <w:r>
        <w:t>Referenser – entita</w:t>
      </w:r>
    </w:p>
    <w:p>
      <w:r>
        <w:t xml:space="preserve">Skogsstyrelsen, 2016. </w:t>
      </w:r>
      <w:r>
        <w:rPr>
          <w:i/>
        </w:rPr>
        <w:t xml:space="preserve">Vägledning för hänsyn till entita. </w:t>
      </w:r>
      <w:r>
        <w:t>https://www.skogsstyrelsen.se/globalassets/lag-och-tillsyn/artskydd/vagledningar-for-hansyn-till-faglar/entita-vagledning-hansyn2.pdf</w:t>
      </w:r>
    </w:p>
    <w:p>
      <w:r>
        <w:t xml:space="preserve">SLU Artdatabanken, 2021. </w:t>
      </w:r>
      <w:r>
        <w:rPr>
          <w:i/>
        </w:rPr>
        <w:t xml:space="preserve">Artfaktablad. Naturvård – artfakta. </w:t>
      </w:r>
      <w:r>
        <w:t>SLU Artdatabanken, Uppsala</w:t>
      </w:r>
    </w:p>
    <w:p>
      <w:pPr>
        <w:pStyle w:val="Heading1"/>
      </w:pPr>
      <w:r>
        <w:t>Nordfladdermus – ekologi samt krav på livsmiljön</w:t>
      </w:r>
    </w:p>
    <w:p>
      <w:r>
        <w:t>Nordfladdermus (NT, §4a) omfattas av bilaga 4 EU:s art- och habitatdirektiv vilket innebär ett strikt skydd för arten och dess livsmiljöer. Arten har minskat med 27,5 (5–50) % under de senaste 21 åren och minskningstakten för den svenska populationen bedöms vara nära gränsvärdet för Sårbar (VU). (A2bc) (SLU Artdatabanken, 2024).</w:t>
      </w:r>
    </w:p>
    <w:p>
      <w:r>
        <w:t>Nordfladdermus föredrar variationsrik skog med förekomst av sjöar, vattendrag och våtmarker och hittas framförallt i halvöppna miljöer som trädbärande beteshagar och i kantzoner mellan skog och odlingsmark. Den undviker stora öppna områden som stora hyggen och större sammanhängande planteringar vilket minskar längden bryn och landskapets heterogenitet och därmed födotillgången och mängden lämpliga jaktplatser.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nordfladdermus</w:t>
      </w:r>
    </w:p>
    <w:p>
      <w:r>
        <w:t xml:space="preserve">Skogsstyrelsen, 2016. </w:t>
      </w:r>
      <w:r>
        <w:rPr>
          <w:i/>
        </w:rPr>
        <w:t xml:space="preserve">Vägledning för hänsyn till nordfladdermus. </w:t>
      </w:r>
      <w:r>
        <w:t>Vägledningar och kunskapsstöd artskydd - Skogsstyrelsen</w:t>
      </w:r>
    </w:p>
    <w:p>
      <w:r>
        <w:t>SLU Artdatabanken, 2024.</w:t>
      </w:r>
      <w:r>
        <w:rPr>
          <w:i/>
        </w:rPr>
        <w:t xml:space="preserve">  Artfakta: nordfladdermus (Eptesicus nilssonii). </w:t>
      </w:r>
      <w:r>
        <w:t>https://artfakta.se/taxa/205998</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Dvärgpipistrell – ekologi samt krav på livsmiljön</w:t>
      </w:r>
    </w:p>
    <w:p>
      <w:r>
        <w:t>Dvärgpipistrell (§4a) omfattas av bilaga 4 EU:s art- och habitatdirektiv vilket innebär ett strikt skydd för arten och dess livsmiljöer. Arten förekommer i alla typer av glesare skogar men föredrar framförallt lövskog. Den födosöker inne bland träden och man hittar den i trädbärande beteshagar, i kantzoner mellan skog och odlingsmark, i närheten av vatten och i bymiljöer. Den undviker stora sammanhängande öppna miljöer såsom åkrar och hyggen. Skogsbruksåtgärder som leder till minskad förekomst av äldre, gles skog och då särskilt tillgång på hålträd och träd med löst sittande bark kan leda till brist på koloniplatser och viloplatser (SLU Artdatabanken, 2024; Skogsstyrelsen, 2016).</w:t>
      </w:r>
    </w:p>
    <w:p>
      <w:r>
        <w:t>Fladdermöss är beroende av hänsyn på landskapsnivå och det är viktigt att alla typer av vatten och våtmarker samt fuktiga skogspartier återställs och bevaras. Sväm- och sumpskog ska alltid sparas, och äldre lövmiljöer bör alltid sparas för födosök, koloniplatser och viloplatser. Utöver kantzoner mot vatten och våtmarker bör tillräckligt breda skyddszoner av uppväxt skog sparas för att skapa och bevara vindskyddade födosöksmiljöer. Genom att binda samman befintliga skogsbestånd med korridorer av uppvuxen skog skapas ett fladdermusvänligt landskap (SLU Artdatabanken, 2024; Skogsstyrelsen, 2016).</w:t>
      </w:r>
    </w:p>
    <w:p>
      <w:pPr>
        <w:pStyle w:val="Heading2"/>
      </w:pPr>
      <w:r>
        <w:t>Referenser – dvärgpipistrell</w:t>
      </w:r>
    </w:p>
    <w:p>
      <w:r>
        <w:t xml:space="preserve">Skogsstyrelsen, 2016. </w:t>
      </w:r>
      <w:r>
        <w:rPr>
          <w:i/>
        </w:rPr>
        <w:t xml:space="preserve">Vägledning för hänsyn till pipistrell. </w:t>
      </w:r>
      <w:r>
        <w:t>Vägledningar och kunskapsstöd artskydd - Skogsstyrelsen</w:t>
      </w:r>
    </w:p>
    <w:p>
      <w:r>
        <w:t>SLU Artdatabanken, 2024.</w:t>
      </w:r>
      <w:r>
        <w:rPr>
          <w:i/>
        </w:rPr>
        <w:t xml:space="preserve">  Artfakta: dvärgpipistrell (Pipistrellus pygmaeus). </w:t>
      </w:r>
      <w:r>
        <w:t>https://artfakta.se/taxa/205995</w:t>
      </w:r>
    </w:p>
    <w:p>
      <w:pPr>
        <w:pStyle w:val="Heading1"/>
      </w:pPr>
      <w:r>
        <w:t>Större vattensalamander – ekologi samt krav på livsmiljön</w:t>
      </w:r>
    </w:p>
    <w:p>
      <w:r>
        <w:t>Större vattensalamander (§4a) är strikt skyddad enligt EU:s art- och habitatdirektiv vilket innebär att hela dess livsmiljö ska bevaras. Bevarandestatusen inom habitatdirektivet är dålig med negativ trend och arten omfattas av åtgärdsprogram för hotade arter (ÅGP). Arten förekommer i Götaland, större delen av Svealand, samt sparsamt i södra Norrlands kustland till södra Ångermanland. Med undantag från lekperioden lever den större vattensalamandern på land. I skogslandskapet hittar man den framför allt i äldre skog med stor strukturell variation och gott om död ved där djuren håller till under murkna trädstammar och stubbar, i smågnagargångar, under mossbeklädda stenar och i blockterräng, vanligen i fuktig huvudsakligen lövdominerad skog. I bl.a. mellersta och norra Värmlands skogsbygder, samt möjligen även i Bergslagen och Dalarna, förekommer arten i flera dystrofa tjärnar som delvis omges av vitmossegungfly samt äldre granblandskog. Större vattensalamander är känslig för uttorkning och undviker nya hyggen och andra öppna och torra miljöer, liksom tät ungskog utan fukthållande markskikt. Avverkning invid lekvatten bör helt undvikas i skogsområden som bedöms kunna utgöra landhabitat för arten och skogsområdena bör säkras och skötas på ett för arten optimalt sätt genom att t.ex. minimera gallring och avverkning och låta andelen löv öka (SLU Artdatabanken, 2024; Skogsstyrelsen, 2016; Malmgren, 2007).</w:t>
      </w:r>
    </w:p>
    <w:p>
      <w:r>
        <w:t>Starka populationer av större vattensalamander hittar man främst i ”småvattenlandskap”, alltså områden med en mosaik av lämpliga lekvatten och närliggande lämpliga landmiljöer. Det finns dock många exempel på isolerade lekvatten i skogstjärnar som hyser livskraftiga bestånd. Vuxna salamandrar har konstaterats uppehålla sig inom 300 meter från lekvattnet, men förflyttningar längre än en kilometer har noterats. Sannolikt kan framförallt unga individer sprida sig längre sträckor men kunskapen om deras spridningspotential är liten. Radiosändarstudier i Sverige och Frankrike har visat att djuren tycks vara mycket specifika i val av landmiljö samt att de har relativt små hemområden och vanligtvis inte vandrar så långt från sin hemdamm. En majoritet av individerna i en population tycks vandra mellan 10–100 m från det småvatten de reproducerar sig i, detta under förutsättning att lämpliga landmiljöer finns inom detta avstånd. Finska studier antyder att det behövs åtminstone ett hektar lämplig landmiljö nära lekvattnet (SLU Artdatabanken, 2024; Skogsstyrelsen, 2016; Malmgren, 2007).</w:t>
      </w:r>
    </w:p>
    <w:p>
      <w:r>
        <w:t>Den större vattensalamandern har under de senaste decennierna försvunnit från många lokaler utan att orsakerna därtill är exakt kända. Habitatförstöring anses utgöra den främsta orsaken till den observerade tendensen. Sannolikt utgör artens starka beroende av ett komplext småvattenlandskap – rika akvatiska miljöer sammanbundna med äldre skog via goda spridningsvägar – en stor del av förklaringen. Småvatten och lövskog med stor mängd död ved hör till de biotoper som i högst frekvens omdanats i 1900-talets landskapsförändring. Områden där båda dessa biotoper finns samlade är därför få. Dagens skogsbruk med korta omloppstider och mer ensartade bestånd leder till såväl minskad tillgång på lämpliga landmiljöer som försämrade spridningsmöjligheter. Bortröjning och bortgallring av lövträd, överföring av lövskog till barrskog, och bortrensning av död ved och olika former av markberedning påverkar kvaliteten på landmiljöerna negativt (SLU Artdatabanken, 2024; Skogsstyrelsen, 2016; Malmgren, 2007).</w:t>
      </w:r>
    </w:p>
    <w:p>
      <w:r>
        <w:t>Mycket pekar på att den större vattensalamandern kräver fungerande metapopulationsdynamik för långsiktig överlevnad i ett givet område. Vidare kan kravet på stabila landmiljöer vara ytterligare en faktor som gör arten särskilt känslig för störningar, exempelvis avverkning, i denna miljö. Som en följd av nämnda negativa faktorer hotas arten av fragmenteringseffekter. Dess spridningsförmåga är begränsad och om avstånden mellan lämpliga biotoper (och lekvatten) blir för stora isoleras populationerna med stor risk för lokalt utdöende som följd av slumpmässiga, miljöbetingade eller demografiska faktorer. I England har föreslagits att dammtätheten bör vara minst 0,7 dammar/km2 för att arten ska kunna sprida sig i tillräcklig utsträckning mellan lekvattnen. Goda förutsättningar för långsiktig överlevnad nås dock först vid dammtätheter närmare 4 dammar/km2, vilket studier från både England och Frankrike visat. (SLU Artdatabanken, 2024; Malmgren, 2007).</w:t>
      </w:r>
    </w:p>
    <w:p>
      <w:r>
        <w:t>Arten är beroende av förstärkt hänsyn. Fokus ska ligga på att bevara solbelysta småvatten för lek och fuktiga skogspartier för födosök och övervintring. Sväm- och sumpskog runt lekvattnen ska alltid sparas, liksom lämpliga födosöksmiljöer. För att skydda landmiljöerna och minska risken för negativ påverkan på vattenmiljön bör en tillräckligt bred kantzon med skog sparas runt lekvattnet. Det är viktigt att säkerställa att djuren obehindrat kan röra sig mellan lekvattnet och lämpliga födosöks- och uppväxtmiljöer. För att undvika att lokala populationer isoleras är det viktigt att inte skära av spridningsvägar och försvåra kontakt och spridning mellan befintliga och potentiella lekvatten. (Skogsstyrelsen, 2016; SLU Artdatabanken, 2024; Malmgren, 2007).</w:t>
      </w:r>
    </w:p>
    <w:p>
      <w:r>
        <w:t>Förekomster som befinns vara isolerade från andra populationer bör ges såväl skydd som omedelbara skötselåtgärder där särskild hänsyn tas till arten. Områden med lämpliga skogsområden och många småvatten där reproduktion äger rum, d.v.s. där många förekomster är samlade i ett begränsat område (metapopulationer), är av särskilt stort bevarandevärde och bör ges prioriterat skydd. Sannolikt har den större vattensalamanderns känslighet för störningar i dess miljöer underskattats, och om inte situationen förbättras kan artens hotstatus inom kort behöva uppgraderas. (SLU Artdatabanken, 2024).</w:t>
      </w:r>
    </w:p>
    <w:p>
      <w:pPr>
        <w:pStyle w:val="Heading2"/>
      </w:pPr>
      <w:r>
        <w:t>Referenser – större vattensalamander</w:t>
      </w:r>
    </w:p>
    <w:p>
      <w:r>
        <w:t xml:space="preserve">Malmgren, J., 2007. </w:t>
      </w:r>
      <w:r>
        <w:rPr>
          <w:i/>
        </w:rPr>
        <w:t>Åtgärdsprogram för bevarande av större vattensalamander och dess livsmiljöer (Triturus cristatus).</w:t>
      </w:r>
      <w:r>
        <w:t xml:space="preserve"> Rapport: 5636.  Naturvårdsverket. https://assets.artdatabanken.se/pdf/59197.pdf</w:t>
      </w:r>
    </w:p>
    <w:p>
      <w:r>
        <w:t xml:space="preserve">Skogsstyrelsen, 2016. </w:t>
      </w:r>
      <w:r>
        <w:rPr>
          <w:i/>
        </w:rPr>
        <w:t xml:space="preserve">Vägledning för hänsyn till större vattensalamander. </w:t>
      </w:r>
      <w:r>
        <w:t>Vägledningar och kunskapsstöd artskydd - Skogsstyrelsen</w:t>
      </w:r>
    </w:p>
    <w:p>
      <w:r>
        <w:t>SLU Artdatabanken, 2024.</w:t>
      </w:r>
      <w:r>
        <w:rPr>
          <w:i/>
        </w:rPr>
        <w:t xml:space="preserve">  Artfakta: större vattensalamander (Triturus cristatus). </w:t>
      </w:r>
      <w:r>
        <w:t>https://artfakta.se/taxa/100141</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