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46487-2023 i Stenungsunds kommun</w:t>
      </w:r>
    </w:p>
    <w:p>
      <w:r>
        <w:t>Detta dokument behandlar höga naturvärden i avverkningsanmälan A 46487-2023 i Stenungsunds kommun. Denna avverkningsanmälan inkom 2023-09-28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duvhök (NT, §4), entita (NT, §4), gulsparv (NT, §4), kråka (NT, §4), nordfladdermus (NT, §4a), pilgrimsfalk (NT, §4), spillkråka (NT, §4), svartvit flugsnappare (NT, §4), talltita (NT, §4), stor revmossa (S), dvärgpipistrell (§4a), gråskimlig fladdermus (§4a), järnsparv (§4), kungsfågel (§4), större brunfladdermus (§4a), större vattensalamander (§4a), trana (§4), trollpipistrell (§4a) och vattenfladdermus (§4a).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6487-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6444546, E 318029 i SWEREF 99 TM.</w:t>
      </w:r>
    </w:p>
    <w:p>
      <w:pPr>
        <w:pStyle w:val="Heading1"/>
      </w:pPr>
      <w:r>
        <w:t>Fridlysta arter</w:t>
      </w:r>
    </w:p>
    <w:p>
      <w:r>
        <w:t>Följande fridlysta arter har sina livsmiljöer och växtplatser i den avverkningsanmälda skogen: duvhök (NT, §4), entita (NT, §4), gulsparv (NT, §4), kråka (NT, §4), nordfladdermus (NT, §4a), pilgrimsfalk (NT, §4), spillkråka (NT, §4), svartvit flugsnappare (NT, §4), talltita (NT, §4), dvärgpipistrell (§4a), gråskimlig fladdermus (§4a), järnsparv (§4), kungsfågel (§4), större brunfladdermus (§4a), större vattensalamander (§4a), trana (§4), trollpipistrell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