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klagomål behandlar höga naturvärden i avverkningsanmälan A 46483-2023 i Stenungsunds kommun som inkom 2023-09-28 och omfattar 15,0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6444544, E 317835 i SWEREF 99 TM.</w:t>
      </w:r>
    </w:p>
    <w:p>
      <w:r>
        <w:t>I och inom 23 meter från avverkningsanmälan finns fynd av 17 naturvårdsarter, varav 7 är rödlistade, 12 är fridlysta, 5 är typiska (T) och 2 är signalarter (S): goliatmusseron (VU, T), grönfink (VU, §4), dropptaggsvamp (NT, T), duvhök (NT, §4), entita (NT, T, §4), talltita (NT, §4), älg (NT), stor revmossa (S), västlig hakmossa (S), järpe (T, §4), spillkråka (T, §4), grönsiska (§4), kråka (§4), kungsfågel (§4), orre (§4), sångsvan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