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22581-2025 i Tjörns kommun</w:t>
      </w:r>
    </w:p>
    <w:p>
      <w:r>
        <w:t>Detta dokument behandlar höga naturvärden i avverkningsanmälan A 22581-2025 i Tjörns kommun. Denna avverkningsanmälan inkom 2025-05-12 09:10:18 och omfattar 9,5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grönfink (EN, §4), igelkottsröksvamp (S) och kungsfågel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0234"/>
            <wp:docPr id="1" name="Picture 1"/>
            <wp:cNvGraphicFramePr>
              <a:graphicFrameLocks noChangeAspect="1"/>
            </wp:cNvGraphicFramePr>
            <a:graphic>
              <a:graphicData uri="http://schemas.openxmlformats.org/drawingml/2006/picture">
                <pic:pic>
                  <pic:nvPicPr>
                    <pic:cNvPr id="0" name="A 22581-2025 karta.png"/>
                    <pic:cNvPicPr/>
                  </pic:nvPicPr>
                  <pic:blipFill>
                    <a:blip r:embed="rId16"/>
                    <a:stretch>
                      <a:fillRect/>
                    </a:stretch>
                  </pic:blipFill>
                  <pic:spPr>
                    <a:xfrm>
                      <a:off x="0" y="0"/>
                      <a:ext cx="5486400" cy="4250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6438888, E 301753 i SWEREF 99 TM.</w:t>
      </w:r>
    </w:p>
    <w:p>
      <w:r>
        <w:rPr>
          <w:b/>
        </w:rPr>
        <w:t xml:space="preserve">Igelkottsröksvamp </w:t>
      </w:r>
      <w:r>
        <w:t>är överallt en bra signalart på skyddsvärda ädellövskogar och lövlundar. Svampen är kalkgynnad och indikerar lokalklimatiskt varma men samtidigt relativt fuktiga lövskogar. Växtmiljön utgörs vanligtvis av äldre successionsstadier inom områden med långvarig trädkontinuitet och lokalerna hyser oftast en rik lundflora med många andra ovanliga och rödlistade arter. Skogsbruk som bryter den skogliga kontinuiteten och förändrade markförhållanden missgynnar arten (SLU Artdatabanken, 2024; Nitare &amp; Skogsstyrelsen, 2019).</w:t>
      </w:r>
    </w:p>
    <w:p>
      <w:pPr>
        <w:pStyle w:val="Heading1"/>
      </w:pPr>
      <w:r>
        <w:t>Fridlysta arter</w:t>
      </w:r>
    </w:p>
    <w:p>
      <w:r>
        <w:t>Följande fridlysta arter har sina livsmiljöer och växtplatser i den avverkningsanmälda skogen: grönfink (EN,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