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som inkom 2025-05-12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17 naturvårdsarter hittats: grönfink (VU, §4), entita (NT, T, §4), mindre hackspett (NT, T, §4), tretåig hackspett (NT, T, §4), vedskivlav (NT, T), blomkålssvamp (S), igelkottsröksvamp (S), klibbtickgnagare (S), murgröna (S, T), spillkråka (T, §4), gröngöling (§4), havsörn (§4), kungsfågel (§4), mindre vattensalamander (§6), vanlig groda (§6), vanlig padda (§6) och lopplummer (aggregat)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6438888, E 301753 i SWEREF 99 TM.</w:t>
      </w:r>
    </w:p>
    <w:p>
      <w:pPr>
        <w:pStyle w:val="Heading2"/>
      </w:pPr>
      <w:r>
        <w:t>Fridlysta arter</w:t>
      </w:r>
    </w:p>
    <w:p>
      <w:r>
        <w:t>Följande fridlysta arter har sina livsmiljöer och växtplatser i den avverkningsanmälda skogen: grönfink (VU, §4), entita (NT, T, §4), mindre hackspett (NT, T, §4), tretåig hackspett (NT, T, §4), spillkråka (T, §4), gröngöling (§4), havsörn (§4), kungsfågel (§4), mindre vattensalamander (§6), vanlig groda (§6), vanlig padda (§6)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