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22581-2025 i Tjörns kommun</w:t>
      </w:r>
    </w:p>
    <w:p>
      <w:r>
        <w:t>Detta klagomål behandlar höga naturvärden i avverkningsanmälan A 22581-2025 i Tjörns kommun som inkom 2025-05-12 och omfattar 9,5 ha.</w:t>
      </w:r>
    </w:p>
    <w:p>
      <w:pPr>
        <w:pStyle w:val="Caption"/>
      </w:pPr>
      <w:r>
        <w:drawing>
          <wp:inline xmlns:a="http://schemas.openxmlformats.org/drawingml/2006/main" xmlns:pic="http://schemas.openxmlformats.org/drawingml/2006/picture">
            <wp:extent cx="5428700" cy="5724000"/>
            <wp:docPr id="1" name="Picture 1"/>
            <wp:cNvGraphicFramePr>
              <a:graphicFrameLocks noChangeAspect="1"/>
            </wp:cNvGraphicFramePr>
            <a:graphic>
              <a:graphicData uri="http://schemas.openxmlformats.org/drawingml/2006/picture">
                <pic:pic>
                  <pic:nvPicPr>
                    <pic:cNvPr id="0" name="A 22581-2025 karta.png"/>
                    <pic:cNvPicPr/>
                  </pic:nvPicPr>
                  <pic:blipFill>
                    <a:blip r:embed="rId16"/>
                    <a:stretch>
                      <a:fillRect/>
                    </a:stretch>
                  </pic:blipFill>
                  <pic:spPr>
                    <a:xfrm>
                      <a:off x="0" y="0"/>
                      <a:ext cx="5428700"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6438888, E 301753 i SWEREF 99 TM.</w:t>
      </w:r>
    </w:p>
    <w:p>
      <w:r>
        <w:t>I och inom 23 meter från avverkningsanmälan finns fynd av 21 naturvårdsarter, varav 8 är rödlistade, 15 är fridlysta, 6 är typiska (T) och 4 är signalarter (S): grönfink (VU, §4), entita (NT, T, §4), grönsångare (NT, §4), mindre hackspett (NT, T, §4), nordfladdermus (NT, §4a), tretåig hackspett (NT, T, §4), vedskivlav (NT, T), älg (NT), blomkålssvamp (S), igelkottsröksvamp (S), klibbtickgnagare (S), murgröna (S, T), spillkråka (T, §4), gröngöling (§4), havsörn (§4), kungsfågel (§4), vattenfladdermus (§4a), mindre vattensalamander (§6), vanlig groda (§6), vanlig padda (§6)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Igelkottsröksvamp </w:t>
      </w:r>
      <w:r>
        <w:t>är överallt en bra signalart på skyddsvärda ädellövskogar och lövlundar. Svampen är kalkgynnad och indikerar lokalklimatiskt varma men samtidigt relativt fuktiga lövskogar. Växtmiljön utgörs vanligtvis av äldre successionsstadier inom områden med långvarig trädkontinuitet och lokalerna hyser oftast en rik lundflora med många andra ovanliga och rödlistade arter. Skogsbruk som bryter den skogliga kontinuiteten och förändrade markförhållanden missgynnar arten (SLU Artdatabanken, 2024; Nitare &amp; Skogsstyrelsen, 2019).</w:t>
      </w:r>
    </w:p>
    <w:p>
      <w:r>
        <w:rPr>
          <w:b/>
        </w:rPr>
        <w:t>Klibbtickgnagare</w:t>
      </w:r>
      <w:r>
        <w:rPr>
          <w:b/>
          <w:i/>
        </w:rPr>
        <w:t xml:space="preserve"> </w:t>
      </w:r>
      <w:r>
        <w:t>är en skalbagge vars larvutveckling sker i fruktkroppar av klibbticka, främst på gran men även på gråal och oxel. Arten påverkas negativt av brist på kontinuitetsskog och det föreligger indikation på eller misstanke om populationsminskning. Minskningen avser kvalitén på artens habitat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