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55776-2021 i Orusts kommun</w:t>
      </w:r>
    </w:p>
    <w:p>
      <w:r>
        <w:t>Denna tillsynsbegäran behandlar höga naturvärden i avverkningsanmälan A 55776-2021 i Orusts kommun som inkom 2021-10-07 och omfattar 4,0 ha.</w:t>
      </w:r>
    </w:p>
    <w:p>
      <w:pPr>
        <w:pStyle w:val="Caption"/>
      </w:pPr>
      <w:r>
        <w:drawing>
          <wp:inline xmlns:a="http://schemas.openxmlformats.org/drawingml/2006/main" xmlns:pic="http://schemas.openxmlformats.org/drawingml/2006/picture">
            <wp:extent cx="5486400" cy="4666888"/>
            <wp:docPr id="1" name="Picture 1"/>
            <wp:cNvGraphicFramePr>
              <a:graphicFrameLocks noChangeAspect="1"/>
            </wp:cNvGraphicFramePr>
            <a:graphic>
              <a:graphicData uri="http://schemas.openxmlformats.org/drawingml/2006/picture">
                <pic:pic>
                  <pic:nvPicPr>
                    <pic:cNvPr id="0" name="A 55776-2021 karta.png"/>
                    <pic:cNvPicPr/>
                  </pic:nvPicPr>
                  <pic:blipFill>
                    <a:blip r:embed="rId16"/>
                    <a:stretch>
                      <a:fillRect/>
                    </a:stretch>
                  </pic:blipFill>
                  <pic:spPr>
                    <a:xfrm>
                      <a:off x="0" y="0"/>
                      <a:ext cx="5486400" cy="46668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6463027, E 306007 i SWEREF 99 TM.</w:t>
      </w:r>
    </w:p>
    <w:p>
      <w:r>
        <w:t>I avverkningsanmälan finns fynd av 5 naturvårdsarter, varav 1 är rödlistad, 1 är fridlyst, 2 är typiska (T) och 4 är signalarter (S): knärot (VU, T, §8), blåmossa (S, T), purpurmylia (S), stor revmossa (S) och västlig hakmossa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0.47 ha med buffertzonerna och får av detta skäl inte avverkas.</w:t>
      </w:r>
    </w:p>
    <w:p>
      <w:pPr>
        <w:pStyle w:val="Caption"/>
      </w:pPr>
      <w:r>
        <w:drawing>
          <wp:inline xmlns:a="http://schemas.openxmlformats.org/drawingml/2006/main" xmlns:pic="http://schemas.openxmlformats.org/drawingml/2006/picture">
            <wp:extent cx="5486400" cy="5669540"/>
            <wp:docPr id="2" name="Picture 2"/>
            <wp:cNvGraphicFramePr>
              <a:graphicFrameLocks noChangeAspect="1"/>
            </wp:cNvGraphicFramePr>
            <a:graphic>
              <a:graphicData uri="http://schemas.openxmlformats.org/drawingml/2006/picture">
                <pic:pic>
                  <pic:nvPicPr>
                    <pic:cNvPr id="0" name="A 55776-2021 karta knärot.png"/>
                    <pic:cNvPicPr/>
                  </pic:nvPicPr>
                  <pic:blipFill>
                    <a:blip r:embed="rId17"/>
                    <a:stretch>
                      <a:fillRect/>
                    </a:stretch>
                  </pic:blipFill>
                  <pic:spPr>
                    <a:xfrm>
                      <a:off x="0" y="0"/>
                      <a:ext cx="5486400" cy="566954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6463027, E 306007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Purpurmylia </w:t>
      </w:r>
      <w:r>
        <w:t>indikerar mycket hög och jämn fuktighet, både i substratet och i luften, samt kalkfattiga och fukthållande underlag. Förekomster i skog signalerar höga naturvärden. Arten kräver i låglandet äldre skog med riklig tillgång på grova lågor som fått ligga länge i skugga och i kontakt med fuktig mark (Nitare &amp; Skogsstyrelsen, 2019).</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