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24088-2025 i Sotenäs kommun</w:t>
      </w:r>
    </w:p>
    <w:p>
      <w:r>
        <w:t>Denna tillsynsbegäran behandlar höga naturvärden i avverkningsanmälan A 24088-2025 i Sotenäs kommun som inkom 2025-05-18 och omfattar 2,8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24088-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6476269, E 285763 i SWEREF 99 TM.</w:t>
      </w:r>
    </w:p>
    <w:p>
      <w:r>
        <w:t>I och inom 11 meter från avverkningsanmälan finns fynd av 3 naturvårdsarter, varav 2 är rödlistade, 1 är fridlyst och 1 är typisk (T): ask (EN), tusengömming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Tusengömming (NT)</w:t>
      </w:r>
      <w:r>
        <w:t xml:space="preserve"> är en nedbrytare på döda men ännu barkklädda, tunna grenar och kvistar av ask. Arten bedöms minska inom en 20-årsperiod p.g.a. minskande tillgång på substrat som en följd av askskottsjukan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