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50239-2022 i Sotenäs kommun</w:t>
      </w:r>
    </w:p>
    <w:p>
      <w:r>
        <w:t>Detta klagomål behandlar höga naturvärden i avverkningsanmälan A 50239-2022 i Sotenäs kommun som inkom 2022-10-31 och omfattar 13,2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50239-2022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6480191, E 288988 i SWEREF 99 TM.</w:t>
      </w:r>
    </w:p>
    <w:p>
      <w:r>
        <w:t>Inom 16 meter från avverkningsanmälan finns fynd av 1 naturvårdsarter, varav 1 är rödlistad: blockskapania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Blockskapania (VU)</w:t>
      </w:r>
      <w:r>
        <w:t xml:space="preserve"> växer vanligtvis på block och bergväggar i rasmarker nedom branta skuggade klippstup. Arten kräver suboceaniskt klimat och dess utbredning är därför starkt begränsad i Sverige. Ett begränsat antal lokaler innebär att artens fortbestånd inte är säkrat. Stenbrytning och ökad exponering genom t.ex. skogsavverkning, kan hota arten. Samtliga kända lokaler måste ges ett ändamålsenligt skydd. Ingrepp som kan minska expositionsskyddet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