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35468-2025 i Munkedals kommun</w:t>
      </w:r>
    </w:p>
    <w:p>
      <w:r>
        <w:t>Detta dokument behandlar höga naturvärden i avverkningsanmälan A 35468-2025 i Munkedals kommun. Denna avverkningsanmälan inkom 2025-07-17 15:50:55 och omfattar 16,5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jättemusseron (VU), kolflarnlav (NT), nordtagging (NT), spillkråka (NT, §4), tallticka (NT), vedtrappmossa (NT), barkticka (S), bronshjon (S), dropptaggsvamp (S), fällmossa (S), granbarkgnagare (S), guldlockmossa (S), havstulpanlav (S), jättesvampmal (S), kattfotslav (S), korallblylav (S), kornknutmossa (S), mindre märgborre (S), platt fjädermossa (S), purpurmylia (S), rävticka (S), stor aspticka (S), vedticka (S), vågbandad barkbock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35468-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6524006, E 312887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Purpurmylia </w:t>
      </w:r>
      <w:r>
        <w:t>indikerar mycket hög och jämn fuktighet, både i substratet och i luften, samt kalkfattiga och fukthållande underlag. Förekomster i skog signalerar höga naturvärden. Arten kräver i låglandet äldre skog med riklig tillgång på grova lågor som fått ligga länge i skugga och i kontakt med fuktig mark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