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20799-2026 i Tanums kommun</w:t>
      </w:r>
    </w:p>
    <w:p>
      <w:r>
        <w:t>Detta klagomål behandlar höga naturvärden i avverkningsanmälan A 20799-2026 i Tanums kommun som inkom 2026-04-29 och omfattar 4,9 ha.</w:t>
      </w:r>
    </w:p>
    <w:p>
      <w:pPr>
        <w:pStyle w:val="Caption"/>
      </w:pPr>
      <w:r>
        <w:drawing>
          <wp:inline xmlns:a="http://schemas.openxmlformats.org/drawingml/2006/main" xmlns:pic="http://schemas.openxmlformats.org/drawingml/2006/picture">
            <wp:extent cx="4895889" cy="5724000"/>
            <wp:docPr id="1" name="Picture 1"/>
            <wp:cNvGraphicFramePr>
              <a:graphicFrameLocks noChangeAspect="1"/>
            </wp:cNvGraphicFramePr>
            <a:graphic>
              <a:graphicData uri="http://schemas.openxmlformats.org/drawingml/2006/picture">
                <pic:pic>
                  <pic:nvPicPr>
                    <pic:cNvPr id="0" name="A 20799-2026 karta.png"/>
                    <pic:cNvPicPr/>
                  </pic:nvPicPr>
                  <pic:blipFill>
                    <a:blip r:embed="rId16"/>
                    <a:stretch>
                      <a:fillRect/>
                    </a:stretch>
                  </pic:blipFill>
                  <pic:spPr>
                    <a:xfrm>
                      <a:off x="0" y="0"/>
                      <a:ext cx="4895889" cy="5724000"/>
                    </a:xfrm>
                    <a:prstGeom prst="rect"/>
                  </pic:spPr>
                </pic:pic>
              </a:graphicData>
            </a:graphic>
          </wp:inline>
        </w:drawing>
      </w:r>
    </w:p>
    <w:p>
      <w:pPr>
        <w:pStyle w:val="Caption"/>
        <w:spacing w:after="240"/>
      </w:pPr>
      <w:r>
        <w:t>Figur 1. Fyndplatser för naturvårdsarter inom 14 meter från avverkningsanmälan. Markörer utan svart kant är placerade på fyndplatsen. Markörer med svart kant är placerade vid sidan av fyndplatsen och har ett svart streck som visar fyndplatsens exakta position. Kartans mittpunktskoordinat är N 6521843, E 296070 i SWEREF 99 TM.</w:t>
      </w:r>
    </w:p>
    <w:p>
      <w:r>
        <w:t>Inom 14 meter från avverkningsanmälan finns fynd av 2 naturvårdsarter, varav 1 är typisk (T) och 2 är signalarter (S): blåmossa (S, T) och rödgul trumpetsvamp (S).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Blåmossa </w:t>
      </w:r>
      <w:r>
        <w:t xml:space="preserve">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Blåmossa är typisk art för </w:t>
      </w:r>
      <w:r>
        <w:rPr>
          <w:i/>
        </w:rPr>
        <w:t>9010 Taiga, 9080 Lövsumpskog</w:t>
      </w:r>
      <w:r>
        <w:t xml:space="preserve"> och </w:t>
      </w:r>
      <w:r>
        <w:rPr>
          <w:i/>
        </w:rPr>
        <w:t>9750 Svämlövskog</w:t>
      </w:r>
      <w:r>
        <w:t xml:space="preserve"> (SLU Artdatabanken, 2025; Nitare &amp; Skogsstyrelsen, 2019).</w:t>
      </w:r>
    </w:p>
    <w:p>
      <w:r>
        <w:rPr>
          <w:b/>
        </w:rPr>
        <w:t xml:space="preserve">Rödgul trumpetsvamp </w:t>
      </w:r>
      <w:r>
        <w:t>signalerar kalkrika barrsumpskogar eller avgränsade små mineralrika ytor i barrskogslandskapet, vilka normalt har höga naturvärden. I urbergsbygder är den en bra signalart på känsliga skogsbiotoper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