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15 meter från avverkningsanmälan finns fynd av 24 naturvårdsarter, varav 9 är rödlistade, 2 är fridlysta, 15 är typiska (T) och 14 är signalarter (S): garnlav (VU, T), knärot (VU, T, §8), blanksvart spiklav (NT), dropptaggsvamp (NT, T), kattfotslav (NT, T), motaggsvamp (NT, T), svartvit taggsvamp (NT), tallfingersvamp (NT), vedtrappmossa (NT, T), barkticka (S, T), björksplintborre (S), blomkålssvamp (S), blåmossa (S, T), bronshjon (S, T), granbarkgnagare (S, T), korallblylav (S, T), kornknutmossa (S, T), skuggmossa (S, T), stor revmossa (S), stuplav (S, T), thomsons trägnagare (S), vedticka (S, T),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