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18326-2024 i Dals-Eds kommun</w:t>
      </w:r>
    </w:p>
    <w:p>
      <w:r>
        <w:t>Detta klagomål behandlar höga naturvärden i avverkningsanmälan A 18326-2024 i Dals-Eds kommun som inkom 2024-05-10 och omfattar 4,3 ha.</w:t>
      </w:r>
    </w:p>
    <w:p>
      <w:pPr>
        <w:pStyle w:val="Caption"/>
      </w:pPr>
      <w:r>
        <w:drawing>
          <wp:inline xmlns:a="http://schemas.openxmlformats.org/drawingml/2006/main" xmlns:pic="http://schemas.openxmlformats.org/drawingml/2006/picture">
            <wp:extent cx="5486400" cy="4574620"/>
            <wp:docPr id="1" name="Picture 1"/>
            <wp:cNvGraphicFramePr>
              <a:graphicFrameLocks noChangeAspect="1"/>
            </wp:cNvGraphicFramePr>
            <a:graphic>
              <a:graphicData uri="http://schemas.openxmlformats.org/drawingml/2006/picture">
                <pic:pic>
                  <pic:nvPicPr>
                    <pic:cNvPr id="0" name="A 18326-2024 karta.png"/>
                    <pic:cNvPicPr/>
                  </pic:nvPicPr>
                  <pic:blipFill>
                    <a:blip r:embed="rId16"/>
                    <a:stretch>
                      <a:fillRect/>
                    </a:stretch>
                  </pic:blipFill>
                  <pic:spPr>
                    <a:xfrm>
                      <a:off x="0" y="0"/>
                      <a:ext cx="5486400" cy="45746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6547567, E 315882 i SWEREF 99 TM.</w:t>
      </w:r>
    </w:p>
    <w:p>
      <w:r>
        <w:t>I avverkningsanmälan finns fynd av 7 naturvårdsarter, varav 1 är rödlistad, 1 är fridlyst, 7 är typiska (T) och 5 är signalarter (S): dropptaggsvamp (NT, T), barkticka (S, T), blåmossa (S, T), kornknutmossa (S, T), mindre märgborre (S, T), rävticka (S, 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Barkticka</w:t>
      </w:r>
      <w:r>
        <w:t xml:space="preserve"> är en vednedbrytare som växer på barken av döda lövträd, främst asp, men någon gång även på björk eller andra trädslag. På sina växtplatser förekommer den gärna tillsammans med flera ovanliga och rödlistade arter, till exempel olika insekter. Barkticka är typisk art för </w:t>
      </w:r>
      <w:r>
        <w:rPr>
          <w:i/>
        </w:rPr>
        <w:t xml:space="preserve">9010 Taiga </w:t>
      </w:r>
      <w:r>
        <w:t xml:space="preserve">och </w:t>
      </w:r>
      <w:r>
        <w:rPr>
          <w:i/>
        </w:rPr>
        <w:t>9030 Landhöjningsskog</w:t>
      </w:r>
      <w:r>
        <w:t xml:space="preserve"> (SLU Artdatabanken, 2025;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Kornknutmossa</w:t>
      </w:r>
      <w:r>
        <w:t xml:space="preserve"> växer främst på grova lågor i sumpskog och myrkanter och indikerar miljöer med rik och jämn tillgång på fuktigt liggande ved. En typisk växtplats i södra Sverige är naturskogsartad gransumpskog. Samtliga skogsskötselåtgärder på eller i omedelbar närhet av lokalerna utgör ett hot. Fragmenteringen av skogslandskapet liksom minskad mängd död ved är ett långsiktigt hot mot denna art. Kornknutmossa är typisk art för </w:t>
      </w:r>
      <w:r>
        <w:rPr>
          <w:i/>
        </w:rPr>
        <w:t xml:space="preserve">9010 Taiga </w:t>
      </w:r>
      <w:r>
        <w:t>och</w:t>
      </w:r>
      <w:r>
        <w:rPr>
          <w:i/>
        </w:rPr>
        <w:t xml:space="preserve"> 9740 Skogsbevuxen myr</w:t>
      </w:r>
      <w:r>
        <w:t xml:space="preserve"> (SLU Artdatabanken, 2024; Nitare &amp; Skogsstyrelsen, 2019).</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Rävticka</w:t>
      </w:r>
      <w:r>
        <w:t xml:space="preserve"> är typisk art för </w:t>
      </w:r>
      <w:r>
        <w:rPr>
          <w:i/>
        </w:rPr>
        <w:t xml:space="preserve">9010 Taiga </w:t>
      </w:r>
      <w:r>
        <w:t>(SLU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7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