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18328-2024 i Dals-Eds kommun</w:t>
      </w:r>
    </w:p>
    <w:p>
      <w:r>
        <w:t>Denna tillsynsbegäran behandlar höga naturvärden i avverkningsanmälan A 18328-2024 i Dals-Eds kommun som inkom 2024-05-10 och omfattar 2,1 ha.</w:t>
      </w:r>
    </w:p>
    <w:p>
      <w:pPr>
        <w:pStyle w:val="Caption"/>
      </w:pPr>
      <w:r>
        <w:drawing>
          <wp:inline xmlns:a="http://schemas.openxmlformats.org/drawingml/2006/main" xmlns:pic="http://schemas.openxmlformats.org/drawingml/2006/picture">
            <wp:extent cx="5292927" cy="5724000"/>
            <wp:docPr id="1" name="Picture 1"/>
            <wp:cNvGraphicFramePr>
              <a:graphicFrameLocks noChangeAspect="1"/>
            </wp:cNvGraphicFramePr>
            <a:graphic>
              <a:graphicData uri="http://schemas.openxmlformats.org/drawingml/2006/picture">
                <pic:pic>
                  <pic:nvPicPr>
                    <pic:cNvPr id="0" name="A 18328-2024 karta.png"/>
                    <pic:cNvPicPr/>
                  </pic:nvPicPr>
                  <pic:blipFill>
                    <a:blip r:embed="rId16"/>
                    <a:stretch>
                      <a:fillRect/>
                    </a:stretch>
                  </pic:blipFill>
                  <pic:spPr>
                    <a:xfrm>
                      <a:off x="0" y="0"/>
                      <a:ext cx="5292927"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6546973, E 316394 i SWEREF 99 TM.</w:t>
      </w:r>
    </w:p>
    <w:p>
      <w:r>
        <w:t>I avverkningsanmälan finns fynd av 3 naturvårdsarter, varav 1 är rödlistad, 2 är fridlysta, 3 är typiska (T) och 1 är signalart (S): tretåig hackspett (NT, T, §4), korallblylav (S, T) och spillkråka (T,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Korallblylav är typisk art för </w:t>
      </w:r>
      <w:r>
        <w:rPr>
          <w:i/>
        </w:rPr>
        <w:t xml:space="preserve">9020 Nordlig ädellövskog, 9070 Trädklädd betesmark, 9160 Näringsrik ekskog, 9180 Ädellövskog i branter </w:t>
      </w:r>
      <w:r>
        <w:t>och</w:t>
      </w:r>
      <w:r>
        <w:rPr>
          <w:i/>
        </w:rPr>
        <w:t xml:space="preserve"> 9190 Näringsfattig ekskog</w:t>
      </w:r>
      <w:r>
        <w:t xml:space="preserve"> (SLU Artdatabanken, 2024;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