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40826-2025 i Dals-Eds kommun</w:t>
      </w:r>
    </w:p>
    <w:p>
      <w:r>
        <w:t>Detta dokument behandlar höga naturvärden i avverkningsanmälan A 40826-2025 i Dals-Eds kommun. Denna avverkningsanmälan inkom 2025-08-28 00:00:00 och omfattar 6,5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fläckporing (VU), jättemusseron (VU), knärot (VU, §8), dvärgbägarlav (NT), hornvaxskinn (NT), kådvaxskinn (NT), mindre hackspett (NT, §4), motaggsvamp (NT), nordtagging (NT), spillkråka (NT, §4), svart taggsvamp agg. (NT), tallticka (NT), vedskivlav (NT), vedtrappmossa (NT), bårdlav (S), dropptaggsvamp (S), granbarkgnagare (S), gullgröppa (S), kornknutmossa (S), mindre märgborre (S), rödgul trumpetsvamp (S), vågbandad barkbock (S), tjäder (§4) och revlummer (§9).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0826-2025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6550477, E 316913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 mindre hackspett (NT, §4), spillkråka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38 fyndplatser för knärot registrerade på Artportalen. Figur 2 visar gränserna för buffertzoner på 50 m, som behöver lämnas kring fyndplatserna för att knärotslokalerna inte ska försvinna vid en avverkning. Av det avverkningsanmälda området överlappar 2.19 ha med buffertzonerna och får av detta skäl inte avverkas.</w:t>
      </w:r>
    </w:p>
    <w:p>
      <w:pPr>
        <w:pStyle w:val="Caption"/>
      </w:pPr>
      <w:r>
        <w:drawing>
          <wp:inline xmlns:a="http://schemas.openxmlformats.org/drawingml/2006/main" xmlns:pic="http://schemas.openxmlformats.org/drawingml/2006/picture">
            <wp:extent cx="5486400" cy="7124530"/>
            <wp:docPr id="2" name="Picture 2"/>
            <wp:cNvGraphicFramePr>
              <a:graphicFrameLocks noChangeAspect="1"/>
            </wp:cNvGraphicFramePr>
            <a:graphic>
              <a:graphicData uri="http://schemas.openxmlformats.org/drawingml/2006/picture">
                <pic:pic>
                  <pic:nvPicPr>
                    <pic:cNvPr id="0" name="A 40826-2025 karta knärot.png"/>
                    <pic:cNvPicPr/>
                  </pic:nvPicPr>
                  <pic:blipFill>
                    <a:blip r:embed="rId17"/>
                    <a:stretch>
                      <a:fillRect/>
                    </a:stretch>
                  </pic:blipFill>
                  <pic:spPr>
                    <a:xfrm>
                      <a:off x="0" y="0"/>
                      <a:ext cx="5486400" cy="71245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6550477, E 316913 i SWEREF 99 TM.</w:t>
      </w:r>
    </w:p>
    <w:p>
      <w:pPr>
        <w:pStyle w:val="Caption"/>
      </w:pP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