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23017-2025 i Dals-Eds kommun</w:t>
      </w:r>
    </w:p>
    <w:p>
      <w:r>
        <w:t>Detta klagomål behandlar höga naturvärden i avverkningsanmälan A 23017-2025 i Dals-Eds kommun som inkom 2025-05-13 och omfattar 9,3 ha.</w:t>
      </w:r>
    </w:p>
    <w:p>
      <w:pPr>
        <w:pStyle w:val="Caption"/>
      </w:pPr>
      <w:r>
        <w:drawing>
          <wp:inline xmlns:a="http://schemas.openxmlformats.org/drawingml/2006/main" xmlns:pic="http://schemas.openxmlformats.org/drawingml/2006/picture">
            <wp:extent cx="5486400" cy="4977353"/>
            <wp:docPr id="1" name="Picture 1"/>
            <wp:cNvGraphicFramePr>
              <a:graphicFrameLocks noChangeAspect="1"/>
            </wp:cNvGraphicFramePr>
            <a:graphic>
              <a:graphicData uri="http://schemas.openxmlformats.org/drawingml/2006/picture">
                <pic:pic>
                  <pic:nvPicPr>
                    <pic:cNvPr id="0" name="A 23017-2025 karta.png"/>
                    <pic:cNvPicPr/>
                  </pic:nvPicPr>
                  <pic:blipFill>
                    <a:blip r:embed="rId16"/>
                    <a:stretch>
                      <a:fillRect/>
                    </a:stretch>
                  </pic:blipFill>
                  <pic:spPr>
                    <a:xfrm>
                      <a:off x="0" y="0"/>
                      <a:ext cx="5486400" cy="4977353"/>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har ett svart streck som visar fyndplatsens exakta position. Kartans mittpunktskoordinat är N 6551712, E 326592 i SWEREF 99 TM.</w:t>
      </w:r>
    </w:p>
    <w:p>
      <w:r>
        <w:t>I och inom 11 meter från avverkningsanmälan finns fynd av 10 naturvårdsarter, varav 7 är rödlistade, 3 är fridlysta, 7 är typiska (T) och 1 är signalart (S): garnlav (VU, T), apelsinticka (NT), dropptaggsvamp (NT, T), motaggsvamp (NT, T), tallticka (NT, T), tretåig hackspett (NT, T, §4), vedskivlav (NT, T), jättesvampmal (S), tjäder (T, §4) och orre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Apelsinticka (NT) </w:t>
      </w:r>
      <w:r>
        <w:t>växer mestadels på liggande ved av tall men även på granved. Artens ekologi och utbredning bör utredas ytterligare. Särskilt bör den eftersökas i de delar av Norrland där den ännu ej är funnen. I väntan på ytterligare detaljer om artens ståndortskrav bör fler tallskogar av naturskogskaraktär och med god tillgång på lågor sparas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