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199-2023 i Dals-Eds kommun</w:t>
      </w:r>
    </w:p>
    <w:p>
      <w:r>
        <w:t>Detta dokument behandlar höga naturvärden i avverkningsanmälan A 199-2023 i Dals-Eds kommun. Denna avverkningsanmälan inkom 2023-01-02 och omfattar 32,9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35 naturvårdsarter hittats: liten kandelabersvamp (CR), gräddporing (VU), knärot (VU, §8), lateritticka (VU), vitt vaxskinn (VU), barrpraktbagge (NT), Erastia ochraceolateritia (NT), garnlav (NT), grönhjon (NT), hornvaxskinn (NT), järpe (NT, §4), knölgrynna (NT), koralltaggsvamp (NT), kådvaxskinn (NT), motaggsvamp (NT), nordtagging (NT), tallticka (NT), talltita (NT, §4), tretåig hackspett (NT, §4), ullticka (NT), vaddporing (NT), veckticka (NT), vedskivlav (NT), vedtrappmossa (NT), vit vedfingersvamp (NT), vitplätt (NT), barkticka (S), bronshjon (S), jättesvampmal (S), mindre märgborre (S), rävticka (S), stor aspticka (S), stor knopplav (S), tjäder (§4) och blåsippa (§9). Av dessa är 26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8386"/>
            <wp:docPr id="1" name="Picture 1"/>
            <wp:cNvGraphicFramePr>
              <a:graphicFrameLocks noChangeAspect="1"/>
            </wp:cNvGraphicFramePr>
            <a:graphic>
              <a:graphicData uri="http://schemas.openxmlformats.org/drawingml/2006/picture">
                <pic:pic>
                  <pic:nvPicPr>
                    <pic:cNvPr id="0" name="A 199-2023 karta.png"/>
                    <pic:cNvPicPr/>
                  </pic:nvPicPr>
                  <pic:blipFill>
                    <a:blip r:embed="rId16"/>
                    <a:stretch>
                      <a:fillRect/>
                    </a:stretch>
                  </pic:blipFill>
                  <pic:spPr>
                    <a:xfrm>
                      <a:off x="0" y="0"/>
                      <a:ext cx="5486400" cy="4768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6566823, E 316957 i SWEREF 99 TM.</w:t>
      </w:r>
    </w:p>
    <w:p>
      <w:r>
        <w:rPr>
          <w:b/>
        </w:rPr>
        <w:t>Barrpraktbagge (NT)</w:t>
      </w:r>
      <w:r>
        <w:t xml:space="preserve"> är en skalbagge vars larvutveckling sker under bark på nyligen döda, solexponerade stammar av barrträd, i Sverige gran och tall. Arten missgynnas av bristen på solbelyst, färsk barrträdsved i skogslandskapet. Områden där stormfällningar eller skogsbrand skett, bör lämnas orörda utan uttag av virke, exempelvis genom naturvårdsavtal (SLU Artdatabanken, 2024).</w:t>
      </w:r>
    </w:p>
    <w:p>
      <w:r>
        <w:rPr>
          <w:b/>
        </w:rPr>
        <w:t>Erastia ochraceolateritia (NT)</w:t>
      </w:r>
      <w:r>
        <w:t>, även kallad karminticka, växer i naturskogsartad gammal barrskog, främst i relativt tät tallskog eller barrblandskog på något produktiv mark, gärna i lägre terrängpartier med fuktig mark. Den är placerad högst upp i Skogsstyrelsens värdepyramid för bedömning av skog med höga naturvärden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Liten kandelabersvamp (CR)</w:t>
      </w:r>
      <w:r>
        <w:t xml:space="preserve"> är en ytterst sällsynt vedsvamp knuten till tallnaturskogar med fuktigt mikroklimat och bördiga markförhållanden. Svampen är akut hotad av skogsbruksåtgärder </w:t>
        <w:br/>
        <w:t>och samtliga lokaler bör skyddas och undantas från skogsbruk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pPr>
        <w:pStyle w:val="Heading1"/>
      </w:pPr>
      <w:r>
        <w:t>Fridlysta arter</w:t>
      </w:r>
    </w:p>
    <w:p>
      <w:r>
        <w:t>Följande fridlysta arter har sina livsmiljöer och växtplatser i den avverkningsanmälda skogen: knärot (VU, §8), järpe (NT, §4), talltita (NT, §4), tretåig hackspett (NT, §4),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5.67 ha med buffertzonerna och får av detta skäl inte avverkas.</w:t>
      </w:r>
    </w:p>
    <w:p>
      <w:pPr>
        <w:pStyle w:val="Caption"/>
      </w:pPr>
      <w:r>
        <w:drawing>
          <wp:inline xmlns:a="http://schemas.openxmlformats.org/drawingml/2006/main" xmlns:pic="http://schemas.openxmlformats.org/drawingml/2006/picture">
            <wp:extent cx="5486400" cy="6053763"/>
            <wp:docPr id="2" name="Picture 2"/>
            <wp:cNvGraphicFramePr>
              <a:graphicFrameLocks noChangeAspect="1"/>
            </wp:cNvGraphicFramePr>
            <a:graphic>
              <a:graphicData uri="http://schemas.openxmlformats.org/drawingml/2006/picture">
                <pic:pic>
                  <pic:nvPicPr>
                    <pic:cNvPr id="0" name="A 199-2023 karta knärot.png"/>
                    <pic:cNvPicPr/>
                  </pic:nvPicPr>
                  <pic:blipFill>
                    <a:blip r:embed="rId17"/>
                    <a:stretch>
                      <a:fillRect/>
                    </a:stretch>
                  </pic:blipFill>
                  <pic:spPr>
                    <a:xfrm>
                      <a:off x="0" y="0"/>
                      <a:ext cx="5486400" cy="605376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6566823, E 316957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