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6469-2022 i Dals-Eds kommun</w:t>
      </w:r>
    </w:p>
    <w:p>
      <w:r>
        <w:t>Detta klagomål behandlar höga naturvärden i avverkningsanmälan A 6469-2022 i Dals-Eds kommun som inkom 2022-02-09 och omfattar 5,6 ha.</w:t>
      </w:r>
    </w:p>
    <w:p>
      <w:pPr>
        <w:pStyle w:val="Caption"/>
      </w:pPr>
      <w:r>
        <w:drawing>
          <wp:inline xmlns:a="http://schemas.openxmlformats.org/drawingml/2006/main" xmlns:pic="http://schemas.openxmlformats.org/drawingml/2006/picture">
            <wp:extent cx="5486400" cy="4538210"/>
            <wp:docPr id="1" name="Picture 1"/>
            <wp:cNvGraphicFramePr>
              <a:graphicFrameLocks noChangeAspect="1"/>
            </wp:cNvGraphicFramePr>
            <a:graphic>
              <a:graphicData uri="http://schemas.openxmlformats.org/drawingml/2006/picture">
                <pic:pic>
                  <pic:nvPicPr>
                    <pic:cNvPr id="0" name="A 6469-2022 karta.png"/>
                    <pic:cNvPicPr/>
                  </pic:nvPicPr>
                  <pic:blipFill>
                    <a:blip r:embed="rId16"/>
                    <a:stretch>
                      <a:fillRect/>
                    </a:stretch>
                  </pic:blipFill>
                  <pic:spPr>
                    <a:xfrm>
                      <a:off x="0" y="0"/>
                      <a:ext cx="5486400" cy="45382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6555142, E 318418 i SWEREF 99 TM.</w:t>
      </w:r>
    </w:p>
    <w:p>
      <w:r>
        <w:t>I och inom 25 meter från avverkningsanmälan finns fynd av 29 naturvårdsarter, varav 15 är rödlistade, 4 är fridlysta, 19 är typiska (T) och 11 är signalarter (S): liten kandelabersvamp (EN), garnlav (VU, T), gräddporing (VU, T), hållav (VU), knärot (VU, T, §8), lateritticka (VU), dofttaggsvamp (NT, T), dropptaggsvamp (NT, T), hornvaxskinn (NT), kattfotslav (NT, T), kådvaxskinn (NT), motaggsvamp (NT, T), nordtagging (NT), orange taggsvamp (NT, T), vedtrappmossa (NT, T), blåmossa (S, T), fällmossa (S, T), grönpyrola (S, T), gullgröppa (S), korallblylav (S, T), kornknutmossa (S, T), mindre märgborre (S, T), rävticka (S, T), stor revmossa (S), vedticka (S, T), vågbandad barkbock (S),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Liten kandelabersvamp (EN)</w:t>
      </w:r>
      <w:r>
        <w:t xml:space="preserve"> är en ytterst sällsynt och starkt hotad vedsvamp knuten till tallnaturskogar med fuktigt mikroklimat och bördiga markförhållanden. Svampen hotas av skogsbruksåtgärder och samtliga lokaler bör skyddas och undantas från skogsbruk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Hållav (VU)</w:t>
      </w:r>
      <w:r>
        <w:t xml:space="preserve"> är en sällsynt art som växer främst på klibbal i sumpskog och klibbalskärr samt på mossiga skuggiga klippor. Avverkning av sumpskogar eller dikning av klibbalskärr och andra sumpmarker utgör ett hot. För klippförekomsterna utgör avverkning av fuktighetsbevarande skog ett hot. Arten är placerad högst upp i Skogsstyrelsens värdepyramid för bedömning av skog med höga naturvärden och lokaler med hållav måste undantas från produktionsinriktat skogsbruk inklusive dikning och andra ändringar av hydrologin. Särskilt rika förekomster bör skyddas. I Bohuslän finns det en akut hotad art, atlantisk hållav </w:t>
      </w:r>
      <w:r>
        <w:rPr>
          <w:i/>
        </w:rPr>
        <w:t>Menegazzia subsimilis</w:t>
      </w:r>
      <w:r>
        <w:t xml:space="preserve"> (CR), som är mycket lik hållav men har mer grovkorniga soral (SLU Artdatabanken, 2024; Nitare &amp; Skogsstyrelsen).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795072"/>
            <wp:docPr id="2" name="Picture 2"/>
            <wp:cNvGraphicFramePr>
              <a:graphicFrameLocks noChangeAspect="1"/>
            </wp:cNvGraphicFramePr>
            <a:graphic>
              <a:graphicData uri="http://schemas.openxmlformats.org/drawingml/2006/picture">
                <pic:pic>
                  <pic:nvPicPr>
                    <pic:cNvPr id="0" name="A 6469-2022 karta knärot.png"/>
                    <pic:cNvPicPr/>
                  </pic:nvPicPr>
                  <pic:blipFill>
                    <a:blip r:embed="rId17"/>
                    <a:stretch>
                      <a:fillRect/>
                    </a:stretch>
                  </pic:blipFill>
                  <pic:spPr>
                    <a:xfrm>
                      <a:off x="0" y="0"/>
                      <a:ext cx="5486400" cy="57950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6555142, E 318418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Rävticka</w:t>
      </w:r>
      <w:r>
        <w:t xml:space="preserve"> är typisk art för </w:t>
      </w:r>
      <w:r>
        <w:rPr>
          <w:i/>
        </w:rPr>
        <w:t xml:space="preserve">9010 Taiga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