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kvalitet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43908-2024 i Dals-Eds kommun</w:t>
      </w:r>
    </w:p>
    <w:p>
      <w:r>
        <w:t>Detta dokument behandlar höga naturvärden i avverkningsanmälan A 43908-2024 i Dals-Eds kommun. Denna avverkningsanmälan inkom 2024-10-07 00:00:00 och omfattar 6,7 ha.</w:t>
      </w:r>
    </w:p>
    <w:p>
      <w:r>
        <w:t>Nedan presenteras fynd av naturvårdsarter och fridlysta arter som gjorts i det avverkningsanmälda området, samt relevanta utdrag ur standarderna för FSC, Chain of Custody, Controlled Wood och PEFC. I BILAGA 1 finns artfakta om fridlysta arter.</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2 naturvårdsarter hittats: spillkråka (NT, §4) och revlummer (§9). Av dessa är 1 rödlistade. För rödlistade arter har rödlistekategorin angivits inom parentes.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6299127"/>
            <wp:docPr id="1" name="Picture 1"/>
            <wp:cNvGraphicFramePr>
              <a:graphicFrameLocks noChangeAspect="1"/>
            </wp:cNvGraphicFramePr>
            <a:graphic>
              <a:graphicData uri="http://schemas.openxmlformats.org/drawingml/2006/picture">
                <pic:pic>
                  <pic:nvPicPr>
                    <pic:cNvPr id="0" name="A 43908-2024 karta.png"/>
                    <pic:cNvPicPr/>
                  </pic:nvPicPr>
                  <pic:blipFill>
                    <a:blip r:embed="rId16"/>
                    <a:stretch>
                      <a:fillRect/>
                    </a:stretch>
                  </pic:blipFill>
                  <pic:spPr>
                    <a:xfrm>
                      <a:off x="0" y="0"/>
                      <a:ext cx="5486400" cy="6299127"/>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6521175, E 319479 i SWEREF 99 TM.</w:t>
      </w:r>
    </w:p>
    <w:p>
      <w:pPr>
        <w:pStyle w:val="Heading1"/>
      </w:pPr>
      <w:r>
        <w:t>Fridlysta arter</w:t>
      </w:r>
    </w:p>
    <w:p>
      <w:r>
        <w:t>Följande fridlysta arter har sina livsmiljöer och växtplatser i den avverkningsanmälda skogen: spillkråka (NT, §4) och revlummer (§9).</w:t>
      </w:r>
    </w:p>
    <w:p>
      <w:r>
        <w:t xml:space="preserve">Observera att medlemsländerna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p>
      <w:r>
        <w:rPr>
          <w:b/>
        </w:rPr>
        <w:t>Spillkråka (§4)</w:t>
      </w:r>
      <w:r>
        <w:t xml:space="preserve"> omfattas av bilaga 1 i EU:s fågeldirektiv och är typisk art för </w:t>
      </w:r>
      <w:r>
        <w:rPr>
          <w:i/>
        </w:rPr>
        <w:t xml:space="preserve">9010 Taiga </w:t>
      </w:r>
      <w:r>
        <w:t>och</w:t>
      </w:r>
      <w:r>
        <w:rPr>
          <w:i/>
        </w:rPr>
        <w:t xml:space="preserve"> 9740 Skogsbevuxen myr</w:t>
      </w:r>
      <w:r>
        <w:t>. Den behöver grova träd, främst tall, asp och bok som boträd. Skogsbruk med korta omloppstider och täta, homogena ungskogar utgör det största hotet. Spillkråka är en nyckelart i skogliga miljöer vars övergivna bohål utnyttjas av flera andra hålhäckande fågelarter och fladdermöss, däribland pärluggla (EN, §4), knipa (§4), salskrake (§4) och skogsduva (§4). Hökuggla (VU, §4) och slaguggla (§4) häckar ofta i högstubbar som brutits av i höjd med ett gammalt spillkråkebo (SLU Artdatabanken, 2026; Skogsstyrelsen, 2016).</w:t>
      </w:r>
    </w:p>
    <w:p>
      <w:r>
        <w:t>I BILAGA 1 finns mer detaljerad information om ekologi samt krav på livsmiljö hos fridlysta arter.</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r>
        <w:rPr>
          <w:i/>
        </w:rPr>
        <w:t xml:space="preserve"> EU:s medlemsländer och skogsbolag är skyldiga att agera i enlighet med EU:s fågeldirektiv där det uttryckligen står att direktivet gäller för fåglar samt för deras ägg, bon och </w:t>
      </w:r>
      <w:r>
        <w:rPr>
          <w:b/>
          <w:i/>
        </w:rPr>
        <w:t xml:space="preserve">livsmiljöer </w:t>
      </w:r>
      <w:r>
        <w:t>(artikel 1). Vidare att de åtgärder som vidtas inte får leda till en försämring av den nuvarande situationen beträffande bevarandet av de fågelarter som avses i artikel 1 (artikel 13).</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2 naturvårdsarter varav 1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p>
      <w:r>
        <w:br w:type="page"/>
      </w:r>
    </w:p>
    <w:p>
      <w:pPr>
        <w:pStyle w:val="Title"/>
      </w:pPr>
      <w:r>
        <w:t>BILAGA 1 – Fridlysta arter</w:t>
      </w:r>
    </w:p>
    <w:p>
      <w:pPr>
        <w:pStyle w:val="Heading1"/>
      </w:pPr>
      <w:r>
        <w:t>Spillkråka – ekologi samt krav på livsmiljön</w:t>
      </w:r>
    </w:p>
    <w:p>
      <w:r>
        <w:t xml:space="preserve">Spillkråka (§4) ingår i bilaga 1 EU:s fågeldirektiv och är typisk art för </w:t>
      </w:r>
      <w:r>
        <w:rPr>
          <w:i/>
        </w:rPr>
        <w:t xml:space="preserve">9010 Taiga </w:t>
      </w:r>
      <w:r>
        <w:t>och</w:t>
      </w:r>
      <w:r>
        <w:rPr>
          <w:i/>
        </w:rPr>
        <w:t xml:space="preserve"> 9740 Skogsbevuxen myr</w:t>
      </w:r>
      <w:r>
        <w:t>. Den lever i både barr- och blandskog liksom i ren lövskog. De tätaste populationerna tenderar att finnas i äldre, variationsrik blandskog med gott om död ved och gamla träd. Varje par utnyttjar 400–1000 hektar skog beroende på skogens kvalitet. Skogsbruk med korta omloppstider och täta, homogena ungskogar utgör det största hotet (SLU Artdatabanken, 2026).</w:t>
      </w:r>
    </w:p>
    <w:p>
      <w:r>
        <w:t>Spillkråka är en nyckelart i skogliga miljöer vars övergivna bohål utnyttjas av flera andra hålhäckande fågelarter och fladdermöss, däribland pärluggla (EN, §4), knipa (§4), salskrake (§4) och skogsduva (§4). Hökuggla (VU, §4) och slaguggla (§4) häckar ofta i högstubbar som brutits av i höjd med ett gammalt spillkråkebo (Skogsstyrelsen, 2016).</w:t>
      </w:r>
    </w:p>
    <w:p>
      <w:pPr>
        <w:pStyle w:val="Heading2"/>
      </w:pPr>
      <w:r>
        <w:t>Referenser – spillkråka</w:t>
      </w:r>
    </w:p>
    <w:p>
      <w:r>
        <w:t xml:space="preserve">Skogsstyrelsen, 2016. </w:t>
      </w:r>
      <w:r>
        <w:rPr>
          <w:i/>
        </w:rPr>
        <w:t xml:space="preserve">Vägledning för hänsyn till spillkråka. </w:t>
      </w:r>
      <w:r>
        <w:t>Vägledningar och kunskapsstöd artskydd – Skogsstyrelsen.</w:t>
      </w:r>
    </w:p>
    <w:p>
      <w:r>
        <w:t xml:space="preserve">SLU Artdatabanken, 2026.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2026-06-15</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