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52471-2025 i Dals-Eds kommun</w:t>
      </w:r>
    </w:p>
    <w:p>
      <w:r>
        <w:t>Denna tillsynsbegäran behandlar höga naturvärden i avverkningsanmälan A 52471-2025 i Dals-Eds kommun som inkom 2025-10-24 och omfattar 14,1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A 52471-2025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6550887, E 317218 i SWEREF 99 TM.</w:t>
      </w:r>
    </w:p>
    <w:p>
      <w:r>
        <w:t>I och inom 24 meter från avverkningsanmälan finns fynd av 28 naturvårdsarter, varav 15 är rödlistade, 2 är fridlysta, 17 är typiska (T) och 11 är signalarter (S): liten kandelabersvamp (EN), fläckporing (VU, T), gräddporing (VU, T), jättemusseron (VU), dropptaggsvamp (NT, T), dvärgbägarlav (NT, T), hornvaxskinn (NT), kattfotslav (NT, T), kolflarnlav (NT, T), kådvaxskinn (NT), nordtagging (NT), tallticka (NT, T), ullticka (NT, T), vedtrappmossa (NT, T), oljeporing (DD), björksplintborre (S), bronshjon (S, T), granbarkgnagare (S, T), gullgröppa (S), jättesvampmal (S), korallblylav (S, T), kornknutmossa (S, T), mindre märgborre (S, T), stor revmossa (S), vedticka (S, T),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Liten kandelabersvamp (EN)</w:t>
      </w:r>
      <w:r>
        <w:t xml:space="preserve"> är en ytterst sällsynt och starkt hotad vedsvamp knuten till tallnaturskogar med fuktigt mikroklimat och bördiga markförhållanden. Svampen hotas av skogsbruksåtgärder och samtliga lokaler bör skyddas och undantas från skogsbruk (SLU Artdatabanken, 2026;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Oljeporing (DD)</w:t>
      </w:r>
      <w:r>
        <w:t xml:space="preserve"> är en sällsynt art med få fynd spridda över landet. Oklar status och ekologi men avverkning av skog innebär att arten får svårt att överleva eftersom sambandet med levande träd går förlorad. Faktaunderlaget bedöms vara otillräckligt för att avgöra vilken av de olika rödlistningskategorierna som är mest trolig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dropptaggsvamp (NT, T), dvärgbägarlav (NT, T), kattfotslav (NT, T), kolflarnlav (NT, T), tallticka (NT, T), ullticka (NT, T), vedtrappmossa (NT, T), bronshjon (S, T), granbarkgnagare (S, T), korallblylav (S, T), kornknutmossa (S, T), mindre märgborre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