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15 meter från avverkningsanmälan finns fynd av 24 naturvårdsarter, varav 9 är rödlistade, 2 är fridlysta, 15 är typiska (T) och 14 är signalarter (S): garnlav (VU, T), knärot (VU, T, §8), blanksvart spiklav (NT), dropptaggsvamp (NT, T), kattfotslav (NT, T), motaggsvamp (NT, T), svartvit taggsvamp (NT), tallfingersvamp (NT), vedtrappmossa (NT, T), barkticka (S, T), björksplintborre (S), blomkålssvamp (S), blåmossa (S, T), bronshjon (S, T), granbarkgnagare (S, T), korallblylav (S, T), kornknutmossa (S, T), skuggmossa (S, T), stor revmossa (S), stuplav (S, T), thomsons trägnagare (S), vedticka (S, T),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vedtrappmossa (NT, T), barkticka (S, T), blåmossa (S, T), bronshjon (S, T), granbarkgnagare (S, T), korallblylav (S, T), kornknutmossa (S, T), skuggmossa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