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5403-2024 i Dals-Eds kommun</w:t>
      </w:r>
    </w:p>
    <w:p>
      <w:r>
        <w:t>Denna tillsynsbegäran behandlar höga naturvärden i avverkningsanmälan A 5403-2024 i Dals-Eds kommun som inkom 2024-02-09 och omfattar 28,3 ha.</w:t>
      </w:r>
    </w:p>
    <w:p>
      <w:pPr>
        <w:pStyle w:val="Caption"/>
      </w:pPr>
      <w:r>
        <w:drawing>
          <wp:inline xmlns:a="http://schemas.openxmlformats.org/drawingml/2006/main" xmlns:pic="http://schemas.openxmlformats.org/drawingml/2006/picture">
            <wp:extent cx="4476915" cy="5724000"/>
            <wp:docPr id="1" name="Picture 1"/>
            <wp:cNvGraphicFramePr>
              <a:graphicFrameLocks noChangeAspect="1"/>
            </wp:cNvGraphicFramePr>
            <a:graphic>
              <a:graphicData uri="http://schemas.openxmlformats.org/drawingml/2006/picture">
                <pic:pic>
                  <pic:nvPicPr>
                    <pic:cNvPr id="0" name="A 5403-2024 karta.png"/>
                    <pic:cNvPicPr/>
                  </pic:nvPicPr>
                  <pic:blipFill>
                    <a:blip r:embed="rId16"/>
                    <a:stretch>
                      <a:fillRect/>
                    </a:stretch>
                  </pic:blipFill>
                  <pic:spPr>
                    <a:xfrm>
                      <a:off x="0" y="0"/>
                      <a:ext cx="4476915"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6525551, E 311420 i SWEREF 99 TM.</w:t>
      </w:r>
    </w:p>
    <w:p>
      <w:r>
        <w:t>I och inom 11 meter från avverkningsanmälan finns fynd av 12 naturvårdsarter, varav 4 är rödlistade, 5 är fridlysta, 6 är typiska (T) och 5 är signalarter (S): dropptaggsvamp (NT, T), talltita (NT, §4), tretåig hackspett (NT, T, §4), vedskivlav (NT, T), blåmossa (S, T), mandelriska (S), rödgul trumpetsvamp (S), stor revmossa (S), västlig hakmossa (S), spillkråka (T, §4), tjäder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tretåig hackspett (NT, T, §4), vedskivlav (NT, T), blåmossa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