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42324-2025 i Färgelanda kommun</w:t>
      </w:r>
    </w:p>
    <w:p>
      <w:r>
        <w:t>Detta dokument behandlar höga naturvärden i avverkningsanmälan A 42324-2025 i Färgelanda kommun. Denna avverkningsanmälan inkom 2025-09-04 16:24:30 och omfattar 12,0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spillkråka (NT, §4), granbarkgnagare (S), grov fjädermossa (S), havstulpanlav (S), kattfotslav (S), vedticka (S), kopparödla (§6)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68102"/>
            <wp:docPr id="1" name="Picture 1"/>
            <wp:cNvGraphicFramePr>
              <a:graphicFrameLocks noChangeAspect="1"/>
            </wp:cNvGraphicFramePr>
            <a:graphic>
              <a:graphicData uri="http://schemas.openxmlformats.org/drawingml/2006/picture">
                <pic:pic>
                  <pic:nvPicPr>
                    <pic:cNvPr id="0" name="A 42324-2025 karta.png"/>
                    <pic:cNvPicPr/>
                  </pic:nvPicPr>
                  <pic:blipFill>
                    <a:blip r:embed="rId16"/>
                    <a:stretch>
                      <a:fillRect/>
                    </a:stretch>
                  </pic:blipFill>
                  <pic:spPr>
                    <a:xfrm>
                      <a:off x="0" y="0"/>
                      <a:ext cx="5486400" cy="27681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6493707, E 327776 i SWEREF 99 TM.</w:t>
      </w:r>
    </w:p>
    <w:p>
      <w:r>
        <w:rPr>
          <w:b/>
        </w:rPr>
        <w:t xml:space="preserve">Grov fjädermossa </w:t>
      </w:r>
      <w:r>
        <w:t>påträffas i gammal ädellövskog och på kalkrika bergväggar i äldre barrskog. Arten är placerad högst upp i Skogsstyrelsens värdepyramid för bedömning av skog med höga naturvärden och visar på lokaler som haft lång trädkontinuitet och stabilt mikroklimat (Nitare &amp; Skogsstyrelsen, 2019).</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pPr>
        <w:pStyle w:val="Heading1"/>
      </w:pPr>
      <w:r>
        <w:t>Fridlysta arter</w:t>
      </w:r>
    </w:p>
    <w:p>
      <w:r>
        <w:t>Följande fridlysta arter har sina livsmiljöer och växtplatser i den avverkningsanmälda skogen: spillkråka (NT, §4), kopparödla (§6)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