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42324-2025 i Färgelanda kommun</w:t>
      </w:r>
    </w:p>
    <w:p>
      <w:r>
        <w:t>Denna tillsynsbegäran behandlar höga naturvärden i avverkningsanmälan A 42324-2025 i Färgelanda kommun som inkom 2025-09-04 och omfattar 12,0 ha.</w:t>
      </w:r>
    </w:p>
    <w:p>
      <w:pPr>
        <w:pStyle w:val="Caption"/>
      </w:pPr>
      <w:r>
        <w:drawing>
          <wp:inline xmlns:a="http://schemas.openxmlformats.org/drawingml/2006/main" xmlns:pic="http://schemas.openxmlformats.org/drawingml/2006/picture">
            <wp:extent cx="5486400" cy="3719817"/>
            <wp:docPr id="1" name="Picture 1"/>
            <wp:cNvGraphicFramePr>
              <a:graphicFrameLocks noChangeAspect="1"/>
            </wp:cNvGraphicFramePr>
            <a:graphic>
              <a:graphicData uri="http://schemas.openxmlformats.org/drawingml/2006/picture">
                <pic:pic>
                  <pic:nvPicPr>
                    <pic:cNvPr id="0" name="A 42324-2025 karta.png"/>
                    <pic:cNvPicPr/>
                  </pic:nvPicPr>
                  <pic:blipFill>
                    <a:blip r:embed="rId16"/>
                    <a:stretch>
                      <a:fillRect/>
                    </a:stretch>
                  </pic:blipFill>
                  <pic:spPr>
                    <a:xfrm>
                      <a:off x="0" y="0"/>
                      <a:ext cx="5486400" cy="37198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6493707, E 327776 i SWEREF 99 TM.</w:t>
      </w:r>
    </w:p>
    <w:p>
      <w:r>
        <w:t>I avverkningsanmälan finns fynd av 8 naturvårdsarter, varav 1 är rödlistad, 3 är fridlysta, 7 är typiska (T) och 4 är signalarter (S): kattfotslav (NT, T), granbarkgnagare (S, T), grov fjädermossa (S, T), havstulpanlav (S, T), vedticka (S, T), blåsippa (T, §9), spillkråka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granbarkgnagare (S, T), grov fjädermossa (S, T), havstulpanlav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