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36673-2023 i Ale kommun</w:t>
      </w:r>
    </w:p>
    <w:p>
      <w:r>
        <w:t>Detta dokument behandlar höga naturvärden i avverkningsanmälan A 36673-2023 i Ale kommun. Denna avverkningsanmälan inkom 2023-08-15 och omfattar 8,7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19 naturvårdsarter hittats: grangråticka (VU), barrviolspindling (NT), blek fingersvamp (NT), dofttaggsvamp (NT), gul taggsvamp (NT), spillkråka (NT, §4), svart taggsvamp (NT), blåmossa (S), bronshjon (S), fjällig taggsvamp s.str. (S), havstulpanlav (S), klippfrullania (S), kornknutmossa (S), smal svampklubba (S), stor revmossa (S), västlig hakmossa (S), vågbandad barkbock (S), tjäder (§4) och blåsippa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273353"/>
            <wp:docPr id="1" name="Picture 1"/>
            <wp:cNvGraphicFramePr>
              <a:graphicFrameLocks noChangeAspect="1"/>
            </wp:cNvGraphicFramePr>
            <a:graphic>
              <a:graphicData uri="http://schemas.openxmlformats.org/drawingml/2006/picture">
                <pic:pic>
                  <pic:nvPicPr>
                    <pic:cNvPr id="0" name="A 36673-2023 karta.png"/>
                    <pic:cNvPicPr/>
                  </pic:nvPicPr>
                  <pic:blipFill>
                    <a:blip r:embed="rId16"/>
                    <a:stretch>
                      <a:fillRect/>
                    </a:stretch>
                  </pic:blipFill>
                  <pic:spPr>
                    <a:xfrm>
                      <a:off x="0" y="0"/>
                      <a:ext cx="5486400" cy="12733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6433110, E 339166 i SWEREF 99 TM.</w:t>
      </w:r>
    </w:p>
    <w:p>
      <w:r>
        <w:rPr>
          <w:b/>
        </w:rPr>
        <w:t>Barrviolspindling (NT)</w:t>
      </w:r>
      <w:r>
        <w:t xml:space="preserve"> bildar mykorrhiza med gran, huvudsakligen i örtrika kalkpåverkade äldre granskogar. Arten är sannolikt uttorkningskänslig och knuten till granskogar med långvarig grankontinuitet. Den hotas främst av skogsavverkning och tycks försvinna efter slutavverkning, markberedning och plantering. Minskningstakten uppgår till 15 % inom 50 år och bedöms vara nära gränsvärdet för Sårbar (VU). (A2c+3c+4c) (SLU Artdatabanken, 2024; Nitare &amp; Skogsstyrelsen, 2019).</w:t>
      </w:r>
    </w:p>
    <w:p>
      <w:r>
        <w:rPr>
          <w:b/>
        </w:rPr>
        <w:t xml:space="preserve">Blek fingersvamp (NT) </w:t>
      </w:r>
      <w:r>
        <w:t>bildar mykorrhiza med dels gran i ängsgranskog men även under bok, ek och avenbok i ädellövskog. Arten är känslig för olika skogsbruksåtgärder och därför på tillbakagång såväl i Sverige som i andra europeiska länder. Arten hotas främst av slutavverkning och andra skogsbruksåtgärder. Arten tål inte en slutavverkning och sannolikt inte heller en kraftig gallring. Skogsområden med arten bör undantas från storskaligt skogsbruk. Slutavverkning, kraftig gallring och skogsgödsling måste helt undvikas, liksom körning med tunga maskiner (SLU Artdatabanken, 2024; Nitare &amp; Skogsstyrelsen, 2019).</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(SLU Artdatabanken, 2024; Nitare &amp; Skogsstyrelsen, 2019).</w:t>
      </w:r>
    </w:p>
    <w:p>
      <w:r>
        <w:rPr>
          <w:b/>
        </w:rPr>
        <w:t xml:space="preserve">Gul taggsvamp (NT) </w:t>
      </w:r>
      <w:r>
        <w:t>bildar mykorrhiza med gran helst på kalkrik mark, gärna i fuktig äldre ängsgranskog. Slutavverkning och markberedning missgynnar arten och fler områden med äldre skog på näringsrik mark, framför allt i södra och mellersta Sverige, behöver bevaras (SLU Artdatabanken, 2024).</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(Nitare &amp; Skogsstyrelsen, 2019).</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pPr>
        <w:pStyle w:val="Heading1"/>
      </w:pPr>
      <w:r>
        <w:t>Fridlysta arter</w:t>
      </w:r>
    </w:p>
    <w:p>
      <w:r>
        <w:t>Följande fridlysta arter har sina livsmiljöer och växtplatser i den avverkningsanmälda skogen: spillkråka (NT, §4), tjäder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