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Arten ingår i ett åtgärdsprogram för hotade arter (ÅGP) och är placerad högst upp i Skogsstyrelsens värdepyramid för bedömning av skog med höga naturvärden. Arten missgynnas av skogsbruk och hotas av slutavverkning eftersom den huvudsakligen växer i äldre barrskogar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