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433-2026 i Ale kommun</w:t>
      </w:r>
    </w:p>
    <w:p>
      <w:r>
        <w:t>Detta klagomål behandlar höga naturvärden i samrådsanmälan S 433-2026 i Ale kommun som inkom 2026-02-17 och omfattar 10,3 ha.</w:t>
      </w:r>
    </w:p>
    <w:p>
      <w:pPr>
        <w:pStyle w:val="Caption"/>
      </w:pPr>
      <w:r>
        <w:drawing>
          <wp:inline xmlns:a="http://schemas.openxmlformats.org/drawingml/2006/main" xmlns:pic="http://schemas.openxmlformats.org/drawingml/2006/picture">
            <wp:extent cx="4970707" cy="5724000"/>
            <wp:docPr id="1" name="Picture 1"/>
            <wp:cNvGraphicFramePr>
              <a:graphicFrameLocks noChangeAspect="1"/>
            </wp:cNvGraphicFramePr>
            <a:graphic>
              <a:graphicData uri="http://schemas.openxmlformats.org/drawingml/2006/picture">
                <pic:pic>
                  <pic:nvPicPr>
                    <pic:cNvPr id="0" name="S 433-2026 karta.png"/>
                    <pic:cNvPicPr/>
                  </pic:nvPicPr>
                  <pic:blipFill>
                    <a:blip r:embed="rId16"/>
                    <a:stretch>
                      <a:fillRect/>
                    </a:stretch>
                  </pic:blipFill>
                  <pic:spPr>
                    <a:xfrm>
                      <a:off x="0" y="0"/>
                      <a:ext cx="4970707" cy="5724000"/>
                    </a:xfrm>
                    <a:prstGeom prst="rect"/>
                  </pic:spPr>
                </pic:pic>
              </a:graphicData>
            </a:graphic>
          </wp:inline>
        </w:drawing>
      </w:r>
    </w:p>
    <w:p>
      <w:pPr>
        <w:pStyle w:val="Caption"/>
        <w:spacing w:after="240"/>
      </w:pPr>
      <w:r>
        <w:t>Figur 1. Fyndplatser för naturvårdsarter i och inom 21 meter från samrådsanmälan. Markörer utan svart kant är placerade på fyndplatsen. Markörer med svart kant är placerade vid sidan av fyndplatsen och har ett svart streck som visar fyndplatsens exakta position. Kartans mittpunktskoordinat är N 6433397, E 338332 i SWEREF 99 TM.</w:t>
      </w:r>
    </w:p>
    <w:p>
      <w:r>
        <w:t>I och inom 21 meter från samrådsanmälan finns fynd av 31 naturvårdsarter, varav 10 är rödlistade, 15 är fridlysta, 11 är typiska (T) och 12 är signalarter (S): knölig taggsvamp (EN), grönfink (VU, §4), knärot (VU, T, §8), brunpudrad nållav (NT, T), entita (NT, T, §4), flikbålmossa (NT), mindre hackspett (NT, T, §4), motaggsvamp (NT, T), sparvuggla (NT, §4), talltita (NT, §4), blåmossa (S, T), bronshjon (S, T), fällmossa (S, T), guldlockmossa (S, T), kantarellvaxing (S), klippfrullania (S, T), rödgul trumpetsvamp (S), smal svampklubba (S), stor revmossa (S), svavelriska (S), västlig hakmossa (S), vågbandad barkbock (S), spillkråka (T, §4), grönsiska (§4), kungsfågel (§4), vattenfladdermus (§4a), vanlig groda (§6), grönvit nattviol (§8), lopplummer (aggregat) (§9), revlummer (§9) och äkta lopplummer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Knölig taggsvamp (EN) </w:t>
      </w:r>
      <w:r>
        <w:t>är en starkt hotad art som bildar mykorrhiza med gran i äldre kalkbarrskog. Arten är placerad högst upp i Skogsstyrelsens värdepyramid för bedömning av skog med höga naturvärden och främsta hotet utgör skogsavverkning eller exploatering av växtplatsen. Samtliga växtlokaler utgör naturvårdsmässiga toppobjekt med stor biologisk mångfald, vilka alla bör erhålla långsiktigt formellt skydd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2 fyndplatser för knärot registrerade på Artportalen. Figur 2 visar gränserna för buffertzoner på 50 m, som behöver lämnas kring fyndplatserna för att knärotslokalerna inte ska försvinna vid en avverkning. Av det samrådsanmälda området överlappar 0.77 ha med buffertzonerna och får av detta skäl inte avverkas.</w:t>
      </w:r>
    </w:p>
    <w:p>
      <w:pPr>
        <w:pStyle w:val="Caption"/>
      </w:pPr>
      <w:r>
        <w:drawing>
          <wp:inline xmlns:a="http://schemas.openxmlformats.org/drawingml/2006/main" xmlns:pic="http://schemas.openxmlformats.org/drawingml/2006/picture">
            <wp:extent cx="5486400" cy="5350654"/>
            <wp:docPr id="2" name="Picture 2"/>
            <wp:cNvGraphicFramePr>
              <a:graphicFrameLocks noChangeAspect="1"/>
            </wp:cNvGraphicFramePr>
            <a:graphic>
              <a:graphicData uri="http://schemas.openxmlformats.org/drawingml/2006/picture">
                <pic:pic>
                  <pic:nvPicPr>
                    <pic:cNvPr id="0" name="S 433-2026 karta knärot.png"/>
                    <pic:cNvPicPr/>
                  </pic:nvPicPr>
                  <pic:blipFill>
                    <a:blip r:embed="rId17"/>
                    <a:stretch>
                      <a:fillRect/>
                    </a:stretch>
                  </pic:blipFill>
                  <pic:spPr>
                    <a:xfrm>
                      <a:off x="0" y="0"/>
                      <a:ext cx="5486400" cy="5350654"/>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6433397, E 338332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Flikbålmossa (NT)</w:t>
      </w:r>
      <w:r>
        <w:t xml:space="preserve"> växer i rikkärr, källkärr och sumpskog. Arten förekommer främst i södra Sverige (sällsynt i Norrland). Dikning och igenväxning av rikkärr och minskning av sumpskog och källor i södra Sverige gör att arten bedöms ha en fortgående minskning (SLU Artdatabanken, 2026).</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samrådsanmälda skogsområdet har 22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31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