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3236-2024 i Ale kommun</w:t>
      </w:r>
    </w:p>
    <w:p>
      <w:r>
        <w:t>Denna tillsynsbegäran behandlar höga naturvärden i samrådsanmälan S 3236-2024 i Ale kommun som inkom 2024-08-21 och omfattar 2,3 ha.</w:t>
      </w:r>
    </w:p>
    <w:p>
      <w:pPr>
        <w:pStyle w:val="Caption"/>
      </w:pPr>
      <w:r>
        <w:drawing>
          <wp:inline xmlns:a="http://schemas.openxmlformats.org/drawingml/2006/main" xmlns:pic="http://schemas.openxmlformats.org/drawingml/2006/picture">
            <wp:extent cx="5486400" cy="4945301"/>
            <wp:docPr id="1" name="Picture 1"/>
            <wp:cNvGraphicFramePr>
              <a:graphicFrameLocks noChangeAspect="1"/>
            </wp:cNvGraphicFramePr>
            <a:graphic>
              <a:graphicData uri="http://schemas.openxmlformats.org/drawingml/2006/picture">
                <pic:pic>
                  <pic:nvPicPr>
                    <pic:cNvPr id="0" name="S 3236-2024 karta.png"/>
                    <pic:cNvPicPr/>
                  </pic:nvPicPr>
                  <pic:blipFill>
                    <a:blip r:embed="rId16"/>
                    <a:stretch>
                      <a:fillRect/>
                    </a:stretch>
                  </pic:blipFill>
                  <pic:spPr>
                    <a:xfrm>
                      <a:off x="0" y="0"/>
                      <a:ext cx="5486400" cy="4945301"/>
                    </a:xfrm>
                    <a:prstGeom prst="rect"/>
                  </pic:spPr>
                </pic:pic>
              </a:graphicData>
            </a:graphic>
          </wp:inline>
        </w:drawing>
      </w:r>
    </w:p>
    <w:p>
      <w:pPr>
        <w:pStyle w:val="Caption"/>
        <w:spacing w:after="240"/>
      </w:pPr>
      <w:r>
        <w:t>Figur 1. Fyndplatser för naturvårdsarter i och inom 13 meter från samrådsanmälan. Markörer utan svart kant är placerade på fyndplatsen. Markörer med svart kant är placerade vid sidan av fyndplatsen och har ett svart streck som visar fyndplatsens exakta position. Kartans mittpunktskoordinat är N 6424628, E 328658 i SWEREF 99 TM.</w:t>
      </w:r>
    </w:p>
    <w:p>
      <w:r>
        <w:t>I och inom 13 meter från samrådsanmälan finns fynd av 5 naturvårdsarter, varav 3 är rödlistade, 5 är fridlysta och 1 är typisk (T): entita (NT, T, §4), grönsångare (NT, §4), ladusvala (NT, §4), kråka (§4) och svartvit flugsnappare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Entita (NT, §4)</w:t>
      </w:r>
      <w:r>
        <w:t xml:space="preserve">, rödlistad som nära hotad och prioriterad art i Skogsvårdslagen, har häckningsrevir i anmälan. Minskningstakten innevarande 10-årsperiod beräknas till 20 (10–30) % och bedöms vara nära gränsvärdet för Sårbar (VU).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Entita är typisk art för </w:t>
      </w:r>
      <w:r>
        <w:rPr>
          <w:i/>
        </w:rPr>
        <w:t>9080 Lövsumpskog</w:t>
      </w:r>
      <w:r>
        <w:t xml:space="preserve"> (Skogsstyrelsen, 2016, SLU Artdatabanken, 2021).</w:t>
      </w:r>
    </w:p>
    <w:p>
      <w:r>
        <w:rPr>
          <w:b/>
        </w:rPr>
        <w:t>Grönsångare (NT, §4)</w:t>
      </w:r>
      <w:r>
        <w:t xml:space="preserve"> är rödlistad som nära hotad (NT) och fridlyst enligt 4§ artskyddsförordningen. Den har minskat med 17 (6–24) % under de senaste 10 åren och minskningstakten för den svenska populationen bedöms vara nära gränsvärdet för Sårbar (VU). (A2b). Arten häckar i högstammig skog, främst lövskog men även i granskog, i regel utan kraftigare undervegetation. Den förekommer i södra och mellersta Sverige samt i Norrlands kustland norrut till Norrbotten. Förekommer dessutom sällsynt i Norrlands inland (SLU Artdatabanken, 2024). Orsaken till grönsångarens nedgång och är oklar varvid det är viktigt att försiktighetsprincipen enligt 2 kap. 3 § miljöbalken tillämpas för att bevara artens livsmiljöer och vända den negativa trenden.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Entita – ekologi samt krav på livsmiljön</w:t>
      </w:r>
    </w:p>
    <w:p>
      <w:r>
        <w:t xml:space="preserve">Entita (NT, §4) är rödlistad som nära hotad, fridlyst och prioriterad art enligt Skogsvårdslagen. Den omfattas av EU:s fågeldirektiv och är typisk art för </w:t>
      </w:r>
      <w:r>
        <w:rPr>
          <w:i/>
        </w:rPr>
        <w:t>9080 Lövsumpskog</w:t>
      </w:r>
      <w:r>
        <w:t>.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