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43732-2025 i Ale kommun</w:t>
      </w:r>
    </w:p>
    <w:p>
      <w:r>
        <w:t>Detta dokument behandlar höga naturvärden i avverkningsanmälan A 43732-2025 i Ale kommun. Denna avverkningsanmälan inkom 2025-09-12 10:27:30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duvhök (NT, §4), mindre hackspett (NT, §4), spillkråka (NT, §4), talltita (NT, §4), björksplintborre (S), bronshjon (S), smal svampklubba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43732-2025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6435687, E 344419 i SWEREF 99 TM.</w:t>
      </w:r>
    </w:p>
    <w:p>
      <w:pPr>
        <w:pStyle w:val="Heading1"/>
      </w:pPr>
      <w:r>
        <w:t>Fridlysta arter</w:t>
      </w:r>
    </w:p>
    <w:p>
      <w:r>
        <w:t>Följande fridlysta arter har sina livsmiljöer och växtplatser i den avverkningsanmälda skogen: duvhök (NT, §4), mindre hackspett (NT, §4),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