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1456-2020 i Ale kommun</w:t>
      </w:r>
    </w:p>
    <w:p>
      <w:r>
        <w:t>Detta dokument behandlar höga naturvärden i avverkningsanmälan A 1456-2020 i Ale kommun. Denna avverkningsanmälan inkom 2020-01-13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gulsparv (NT, §4), spillkråka (NT, §4) och fällmossa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26523"/>
            <wp:docPr id="1" name="Picture 1"/>
            <wp:cNvGraphicFramePr>
              <a:graphicFrameLocks noChangeAspect="1"/>
            </wp:cNvGraphicFramePr>
            <a:graphic>
              <a:graphicData uri="http://schemas.openxmlformats.org/drawingml/2006/picture">
                <pic:pic>
                  <pic:nvPicPr>
                    <pic:cNvPr id="0" name="A 1456-2020 karta.png"/>
                    <pic:cNvPicPr/>
                  </pic:nvPicPr>
                  <pic:blipFill>
                    <a:blip r:embed="rId16"/>
                    <a:stretch>
                      <a:fillRect/>
                    </a:stretch>
                  </pic:blipFill>
                  <pic:spPr>
                    <a:xfrm>
                      <a:off x="0" y="0"/>
                      <a:ext cx="5486400" cy="32265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6438542, E 341343 i SWEREF 99 TM.</w:t>
      </w:r>
    </w:p>
    <w:p>
      <w:r>
        <w:rPr>
          <w:b/>
        </w:rPr>
        <w:t>Fällmossa</w:t>
      </w:r>
      <w:r>
        <w:t xml:space="preserve"> indikerar i stort sett alltid områden med höga naturvärden, skog med lång kontinuitet, gamla träd, hög luftfuktighet och stabila förhållanden. Sporkapslar finnar man enbart på extra skyddsvärda lokaler (Nitare &amp; Skogsstyrelsen, 2019).</w:t>
      </w:r>
    </w:p>
    <w:p>
      <w:pPr>
        <w:pStyle w:val="Heading1"/>
      </w:pPr>
      <w:r>
        <w:t>Fridlysta arter</w:t>
      </w:r>
    </w:p>
    <w:p>
      <w:r>
        <w:t>Följande fridlysta arter har sina livsmiljöer och växtplatser i den avverkningsanmälda skogen: gulsparv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