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36673-2023 i Ale kommun</w:t>
      </w:r>
    </w:p>
    <w:p>
      <w:r>
        <w:t>Detta dokument behandlar höga naturvärden i avverkningsanmälan A 36673-2023 i Ale kommun. Denna avverkningsanmälan inkom 2023-08-15 00:00:00 och omfattar 6,2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20 naturvårdsarter hittats: grangråticka (VU), barrviolspindling (NT), blek fingersvamp (NT), dofttaggsvamp (NT), gul taggsvamp (NT), spillkråka (NT, §4), svart taggsvamp agg. (NT), talltita (NT, §4), blåmossa (S), bronshjon (S), fjällig taggsvamp s.str. (S), havstulpanlav (S), klippfrullania (S), smal svampklubba (S), stor revmossa (S), västlig hakmossa (S), vågbandad barkbock (S), gröngöling (§4), blåsippa (§9) och revlummer (§9). Av dessa är 8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1162562"/>
            <wp:docPr id="1" name="Picture 1"/>
            <wp:cNvGraphicFramePr>
              <a:graphicFrameLocks noChangeAspect="1"/>
            </wp:cNvGraphicFramePr>
            <a:graphic>
              <a:graphicData uri="http://schemas.openxmlformats.org/drawingml/2006/picture">
                <pic:pic>
                  <pic:nvPicPr>
                    <pic:cNvPr id="0" name="A 36673-2023 karta.png"/>
                    <pic:cNvPicPr/>
                  </pic:nvPicPr>
                  <pic:blipFill>
                    <a:blip r:embed="rId16"/>
                    <a:stretch>
                      <a:fillRect/>
                    </a:stretch>
                  </pic:blipFill>
                  <pic:spPr>
                    <a:xfrm>
                      <a:off x="0" y="0"/>
                      <a:ext cx="5486400" cy="116256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6433127, E 339166 i SWEREF 99 TM.</w:t>
      </w:r>
    </w:p>
    <w:p>
      <w:r>
        <w:rPr>
          <w:b/>
        </w:rPr>
        <w:t>Barrviolspindling (NT)</w:t>
      </w:r>
      <w:r>
        <w:t xml:space="preserve"> bildar mykorrhiza med gran, huvudsakligen i örtrika kalkpåverkade äldre granskogar. Arten är sannolikt uttorkningskänslig och knuten till granskogar med långvarig grankontinuitet. Den hotas främst av skogsavverkning och tycks försvinna efter slutavverkning, markberedning och plantering. Minskningstakten uppgår till 15 % inom 50 år och bedöms vara nära gränsvärdet för Sårbar (VU). (A2c+3c+4c) (SLU Artdatabanken, 2024; Nitare &amp; Skogsstyrelsen, 2019).</w:t>
      </w:r>
    </w:p>
    <w:p>
      <w:r>
        <w:rPr>
          <w:b/>
        </w:rPr>
        <w:t xml:space="preserve">Blek fingersvamp (NT) </w:t>
      </w:r>
      <w:r>
        <w:t>bildar mykorrhiza med dels gran i ängsgranskog men även under bok, ek och avenbok i ädellövskog. Arten är känslig för olika skogsbruksåtgärder och därför på tillbakagång såväl i Sverige som i andra europeiska länder. Arten hotas främst av slutavverkning och andra skogsbruksåtgärder. Arten tål inte en slutavverkning och sannolikt inte heller en kraftig gallring. Skogsområden med arten bör undantas från storskaligt skogsbruk. Slutavverkning, kraftig gallring och skogsgödsling måste helt undvikas, liksom körning med tunga maskiner (SLU Artdatabanken, 2024; Nitare &amp; Skogsstyrelsen, 2019).</w:t>
      </w:r>
    </w:p>
    <w:p>
      <w:r>
        <w:rPr>
          <w:b/>
        </w:rPr>
        <w:t xml:space="preserve">Blåmossa </w:t>
      </w:r>
      <w:r>
        <w:t xml:space="preserve">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Blåmossa är typisk art för </w:t>
      </w:r>
      <w:r>
        <w:rPr>
          <w:i/>
        </w:rPr>
        <w:t>9010 Taiga, 9080 Lövsumpskog</w:t>
      </w:r>
      <w:r>
        <w:t xml:space="preserve"> och </w:t>
      </w:r>
      <w:r>
        <w:rPr>
          <w:i/>
        </w:rPr>
        <w:t>9750 Svämlövskog</w:t>
      </w:r>
      <w:r>
        <w:t xml:space="preserve"> (SLU Artdatabanken, 2025; Nitare &amp; Skogsstyrelsen, 2019).</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 xml:space="preserve">Dofttaggsvamp (NT) </w:t>
      </w:r>
      <w:r>
        <w:t xml:space="preserve">bildar mykorrhiza med gran i framför allt äldre ängsgranskog eller örtrik granskog av frisk lågörttyp. Arten hotas huvudsakligen av slutavverkning och den överlever sannolikt inte en avverkning eftersom den är beroende de levande barrträdens rötter. Troligen missgynnas den av allt för hård gallring eller plockhuggning om huggningen inte efterföljs av skogsbete. Fler örtrika barrskogar, särskilt de med trädkontinuitet, måste skyddas i större utsträckning än vad som tidigare gjorts. Dofttaggsvamp är typisk art för </w:t>
      </w:r>
      <w:r>
        <w:rPr>
          <w:i/>
        </w:rPr>
        <w:t>9050 Näringsrik granskog</w:t>
      </w:r>
      <w:r>
        <w:t xml:space="preserve"> (SLU Artdatabanken, 2024).</w:t>
      </w:r>
    </w:p>
    <w:p>
      <w:r>
        <w:rPr>
          <w:b/>
        </w:rPr>
        <w:t>Fjällig taggsvamp s.str. (NT)</w:t>
      </w:r>
      <w:r>
        <w:t xml:space="preserve"> bildar mykorrhiza med gran i granskog och barrblandskog, främst på frisk näringsrik mark i äldre skog med lång trädkontinuitet. Den totala populationen i landet har minskat och bedöms fortsätta minska till följd av avverkning av äldre barrskogar. Minskningstakten för den svenska populationen bedöms vara nära gränsvärdet för sårbar (VU) (SLU Artdatabanken, 2026).</w:t>
      </w:r>
    </w:p>
    <w:p>
      <w:r>
        <w:rPr>
          <w:b/>
        </w:rPr>
        <w:t>Grangråticka (VU)</w:t>
      </w:r>
      <w:r>
        <w:t xml:space="preserve"> bildar mykorrhiza med gran och påträffas på kalkrik mark i örtrika granskogar med t.ex. blåsippa, harsyra och ekorrbär i fältskiktet. Arten är beroende av långvarig kontinuitet av äldre gran och tål ingen slutavverkning (kalhuggning). Lokaler med grangråticka är alltid skyddsvärda och bör skötas med stor varsamhet. Grangråticka är typisk art för </w:t>
      </w:r>
      <w:r>
        <w:rPr>
          <w:i/>
        </w:rPr>
        <w:t>9050 Näringsrik granskog</w:t>
      </w:r>
      <w:r>
        <w:t xml:space="preserve"> (SLU Artdatabanken, 2024; Nitare &amp; Skogsstyrelsen, 2019).</w:t>
      </w:r>
    </w:p>
    <w:p>
      <w:r>
        <w:rPr>
          <w:b/>
        </w:rPr>
        <w:t xml:space="preserve">Gul taggsvamp (VU) </w:t>
      </w:r>
      <w:r>
        <w:t xml:space="preserve">bildar mykorrhiza med gran i äldre barrskog med lång kontinuitet. Förekommer på kalkrik eller annan basiskt påverkad mark, ofta i källpåverkade miljöer. Den totala populationen i landet har minskat kraftigt och bedöms fortsätta minska till följd av avverkning av äldre barrskog med lång trädkontinuitet. Minskningstakten överstiger gränsvärdet för sårbar (VU). Arten tål inte en slutavverkning utan kräver ett kontinuerligt äldre trädskikt med gran. Slutavverkning, kraftig gallring och skogsmarksgödsling måste helt undvikas och lokalerna bör skyddas formellt. Gul taggsvamp är typisk art för </w:t>
      </w:r>
      <w:r>
        <w:rPr>
          <w:i/>
        </w:rPr>
        <w:t>9050 Näringsrik granskog</w:t>
      </w:r>
      <w:r>
        <w:t xml:space="preserve"> (SLU Artdatabanken, 2026).</w:t>
      </w:r>
    </w:p>
    <w:p>
      <w:r>
        <w:rPr>
          <w:b/>
        </w:rPr>
        <w:t>Havstulpanlav</w:t>
      </w:r>
      <w:r>
        <w:t xml:space="preserve"> är en mycket bra signalart som överallt indikerar skogsbestånd med höga naturvärden. Den växer främst på barken av lövträd i gamla, skuggiga och fuktiga skogsmiljöer, men förekommer relativt ofta även på äldre gran i sumpskog. Havstulpanlav är typisk art för </w:t>
      </w:r>
      <w:r>
        <w:rPr>
          <w:i/>
        </w:rPr>
        <w:t xml:space="preserve">9020 Nordlig ädellövskog, 9070 Trädklädd betesmark, 9110 Näringsfattig bokskog, 9130 Näringsrik bokskog, 9160 Näringsrik ekskog, 9180 Ädellövskog i branter </w:t>
      </w:r>
      <w:r>
        <w:t>och</w:t>
      </w:r>
      <w:r>
        <w:rPr>
          <w:i/>
        </w:rPr>
        <w:t xml:space="preserve"> 9190 Näringsfattig ekskog </w:t>
      </w:r>
      <w:r>
        <w:t>(Nitare &amp; Skogsstyrelsen, 2019; SLU Artdatabanken, 2025).</w:t>
      </w:r>
    </w:p>
    <w:p>
      <w:r>
        <w:rPr>
          <w:b/>
        </w:rPr>
        <w:t>Klippfrullania</w:t>
      </w:r>
      <w:r>
        <w:t xml:space="preserve"> är i centrala, östra och norra Sverige en bra signalart. Den påträffas där i skyddsvärda skogsmiljöer med lång kontinuitet av gamla träd i halvöppen terräng, samt trädklädda bergbranter med ett mikroklimat som har konstant hög och jämn luftfuktighet året om. Klippfrullania är typisk art för </w:t>
      </w:r>
      <w:r>
        <w:rPr>
          <w:i/>
        </w:rPr>
        <w:t xml:space="preserve">9020 Nordlig ädellövskog, 9110 Näringsfattig bokskog, 9130 Näringsrik bokskog, 9160 Näringsrik ekskog, 9180 Ädellövskog i branter </w:t>
      </w:r>
      <w:r>
        <w:t xml:space="preserve">och </w:t>
      </w:r>
      <w:r>
        <w:rPr>
          <w:i/>
        </w:rPr>
        <w:t xml:space="preserve">9190 Näringsfattig ekskog </w:t>
      </w:r>
      <w:r>
        <w:t>(Nitare &amp; Skogsstyrelsen, 2019; SLU Artdatabanken, 2025).</w:t>
      </w:r>
    </w:p>
    <w:p>
      <w:r>
        <w:rPr>
          <w:b/>
        </w:rPr>
        <w:t xml:space="preserve">Svart taggsvamp agg. </w:t>
      </w:r>
      <w:r>
        <w:t xml:space="preserve">har visat sig bestå av fyra olika arter: </w:t>
      </w:r>
      <w:r>
        <w:rPr>
          <w:i/>
        </w:rPr>
        <w:t>Phellodon melilotinus</w:t>
      </w:r>
      <w:r>
        <w:t xml:space="preserve"> (VU), </w:t>
      </w:r>
      <w:r>
        <w:rPr>
          <w:i/>
        </w:rPr>
        <w:t>Phellodon aquiloniniger</w:t>
      </w:r>
      <w:r>
        <w:t xml:space="preserve"> (NT), </w:t>
      </w:r>
      <w:r>
        <w:rPr>
          <w:i/>
        </w:rPr>
        <w:t>Phellodon frondosoniger</w:t>
      </w:r>
      <w:r>
        <w:t xml:space="preserve"> (NT) och svart taggsvamp </w:t>
      </w:r>
      <w:r>
        <w:rPr>
          <w:i/>
        </w:rPr>
        <w:t>Phellodon niger</w:t>
      </w:r>
      <w:r>
        <w:t xml:space="preserve"> (NT). De olika arterna är mykorrhizasvampar med olika utbredning och ekologi som kan påträffas både i barr- och lövskogar. Samtliga arterna är rödlistade och signalerar skogsområden med höga naturvärden (SLU Artdatabanken, 2026; Nitare &amp; Skogsstyrelsen, 2019).</w:t>
      </w:r>
    </w:p>
    <w:p>
      <w:r>
        <w:rPr>
          <w:b/>
        </w:rPr>
        <w:t xml:space="preserve">Vågbandad barkbock </w:t>
      </w:r>
      <w:r>
        <w:t>är en långhorning vars larvutveckling sker under bark på nyligen döda stående barrträd, främst gran, mer undantagsvis på tall. Främst i stående träd, särskilt gamla, långsamvuxna granar med grov bark, även i grövre grenar, stubbar eller vindfällen. Arten är starkt knuten till naturskogsliknande granskogar, och gynnas av extrema torrsomrar som försvagar träden. Arten påverkas negativt av brist på kontinuitetsskog och en minskning av populationen pågår eller förväntas ske (SLU Artdatabanken, 2025).</w:t>
      </w:r>
    </w:p>
    <w:p>
      <w:pPr>
        <w:pStyle w:val="Heading1"/>
      </w:pPr>
      <w:r>
        <w:t>Fridlysta arter</w:t>
      </w:r>
    </w:p>
    <w:p>
      <w:r>
        <w:t>Följande fridlysta arter har sina livsmiljöer och växtplatser i den avverkningsanmälda skogen: spillkråka (NT, §4), talltita (NT, §4), gröngöling (§4), blåsippa (§9)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20 naturvårdsarter varav 8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