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22637-2025 i Ale kommun</w:t>
      </w:r>
    </w:p>
    <w:p>
      <w:r>
        <w:t>Detta dokument behandlar höga naturvärden i avverkningsanmälan A 22637-2025 i Ale kommun. Denna avverkningsanmälan inkom 2025-05-12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skogsalm (CR), ask (EN), entita (NT, §4), spillkråka (NT, §4), lilanopping (S), platt fjädermossa (S), skogshakmossa (S), stor revmossa (S), tibast (S), trubbfjädermossa (S), gröngöling (§4)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2487"/>
            <wp:docPr id="1" name="Picture 1"/>
            <wp:cNvGraphicFramePr>
              <a:graphicFrameLocks noChangeAspect="1"/>
            </wp:cNvGraphicFramePr>
            <a:graphic>
              <a:graphicData uri="http://schemas.openxmlformats.org/drawingml/2006/picture">
                <pic:pic>
                  <pic:nvPicPr>
                    <pic:cNvPr id="0" name="A 22637-2025 karta.png"/>
                    <pic:cNvPicPr/>
                  </pic:nvPicPr>
                  <pic:blipFill>
                    <a:blip r:embed="rId16"/>
                    <a:stretch>
                      <a:fillRect/>
                    </a:stretch>
                  </pic:blipFill>
                  <pic:spPr>
                    <a:xfrm>
                      <a:off x="0" y="0"/>
                      <a:ext cx="5486400" cy="2572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6433631, E 337454 i SWEREF 99 TM.</w:t>
      </w:r>
    </w:p>
    <w:p>
      <w:r>
        <w:rPr>
          <w:b/>
        </w:rPr>
        <w:t>Lilanopping</w:t>
      </w:r>
      <w:r>
        <w:t xml:space="preserve"> är en vedlevande liten svamp med helt igenom blå fruktkroppar som signalerar lövskogsområden med höga naturvärden. Den kräver ständig tillgång till murken, fuktig ved inom områden med konstant hög luftfuktighet och är sannolikt känslig för all form av avverkning och dränering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spillkråka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