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9045-2024 i Ale kommun</w:t>
      </w:r>
    </w:p>
    <w:p>
      <w:r>
        <w:t>Detta dokument behandlar höga naturvärden i avverkningsanmälan A 9045-2024 i Ale kommun. Denna avverkningsanmälan inkom 2024-03-06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grönhjon (NT), spillkråka (NT, §4), talltita (NT, §4), björksplintborre (S), blåmossa (S), bronshjon (S), klippfrullania (S), stor revmossa (S), västlig hakmossa (S), vågbandad barkbock (S), bivråk (§4), grönsiska (§4), kungsfågel (§4), orre (§4)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4255"/>
            <wp:docPr id="1" name="Picture 1"/>
            <wp:cNvGraphicFramePr>
              <a:graphicFrameLocks noChangeAspect="1"/>
            </wp:cNvGraphicFramePr>
            <a:graphic>
              <a:graphicData uri="http://schemas.openxmlformats.org/drawingml/2006/picture">
                <pic:pic>
                  <pic:nvPicPr>
                    <pic:cNvPr id="0" name="A 9045-2024 karta.png"/>
                    <pic:cNvPicPr/>
                  </pic:nvPicPr>
                  <pic:blipFill>
                    <a:blip r:embed="rId16"/>
                    <a:stretch>
                      <a:fillRect/>
                    </a:stretch>
                  </pic:blipFill>
                  <pic:spPr>
                    <a:xfrm>
                      <a:off x="0" y="0"/>
                      <a:ext cx="5486400" cy="3054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6434264, E 343919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pPr>
        <w:pStyle w:val="Heading1"/>
      </w:pPr>
      <w:r>
        <w:t>Fridlysta arter</w:t>
      </w:r>
    </w:p>
    <w:p>
      <w:r>
        <w:t>Följande fridlysta arter har sina livsmiljöer och växtplatser i den avverkningsanmälda skogen: spillkråka (NT, §4), talltita (NT, §4), bivråk (§4), grönsiska (§4), kungsfågel (§4), orre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Bivråk (§4)</w:t>
      </w:r>
      <w:r>
        <w:t xml:space="preserve">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Arten häckar i tät, ogallrad skog på högproduktiv mark, i södra Sverige främst i lövskogsrika trakter, i Norrland till stor del i högproduktiv granskog, Födan består av getinglarver och -puppor, men även av fågelungar och groddjur. Kring alla boplatser ska det lämnas en skyddszon vid avverkning eller andra skogliga åtgärder. Som tumregel ska skyddszonen vara så bred att boet inte syns väl från öppen mark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Bivråk – ekologi samt krav på livsmiljön</w:t>
      </w:r>
    </w:p>
    <w:p>
      <w:r>
        <w:t>Bivråk (§4)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(SLU Artdatabanken, 2024).</w:t>
      </w:r>
    </w:p>
    <w:p>
      <w:r>
        <w:t>Arten häckar i tät, ogallrad skog på högproduktiv mark, i södra Sverige främst i lövskogsrika trakter, i Norrland till stor del i högproduktiv granskog, Födan består av getinglarver och -puppor, men även av fågelungar och groddjur. (SLU Artdatabanken, 2024).</w:t>
      </w:r>
    </w:p>
    <w:p>
      <w:r>
        <w:t>En trolig delförklaring till minskande bivråksstammar är att det i dagens skogs- och jordbruksbygder finns ett sämre utbud av insektsrika biotoper jämfört med förhållandena för 20–40 år sedan. Minskad insektsrikedom innebär förmodligen en lägre täthet av sociala getingsamhällen och därmed sämre förutsättningar för bivråkens häckning. En allmän "förtorkning" av landskapet (täckdikning, dikning av skogsmark etc.) liksom omföring av lövträdsrika marker till täta produktionsskogar av barrträd medför dessutom en försämrad förekomst av tättingar (trastar etc.) och grodor, vilket sannolikt påverkar bivråken negativt. (SLU Artdatabanken, 2024).</w:t>
      </w:r>
    </w:p>
    <w:p>
      <w:r>
        <w:t>Kring alla boplatser ska det lämnas en skyddszon vid avverkning eller andra skogliga åtgärder. Som tumregel ska skyddszonen vara så bred att boet inte syns väl från öppen mark (Skogsstyrelsen, 2016).</w:t>
      </w:r>
    </w:p>
    <w:p>
      <w:pPr>
        <w:pStyle w:val="Heading2"/>
      </w:pPr>
      <w:r>
        <w:t>Referenser – bivråk</w:t>
      </w:r>
    </w:p>
    <w:p>
      <w:r>
        <w:t xml:space="preserve">Skogsstyrelsen, 2016. </w:t>
      </w:r>
      <w:r>
        <w:rPr>
          <w:i/>
        </w:rPr>
        <w:t xml:space="preserve">Vägledning för hänsyn till bivråk. </w:t>
      </w:r>
      <w:r>
        <w:t>https://www.skogsstyrelsen.se/lag-och-tillsyn/artskydd/vagledningar-och-kunskapsstod-artskydd/vagledning-for-hansyn-till-bivrak/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