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32849-2023 i Ale kommun</w:t>
      </w:r>
    </w:p>
    <w:p>
      <w:r>
        <w:t>Denna tillsynsbegäran behandlar höga naturvärden i avverkningsanmälan A 32849-2023 i Ale kommun som inkom 2023-07-17 och omfattar 5,6 ha.</w:t>
      </w:r>
    </w:p>
    <w:p>
      <w:pPr>
        <w:pStyle w:val="Caption"/>
      </w:pPr>
      <w:r>
        <w:drawing>
          <wp:inline xmlns:a="http://schemas.openxmlformats.org/drawingml/2006/main" xmlns:pic="http://schemas.openxmlformats.org/drawingml/2006/picture">
            <wp:extent cx="5486400" cy="5378934"/>
            <wp:docPr id="1" name="Picture 1"/>
            <wp:cNvGraphicFramePr>
              <a:graphicFrameLocks noChangeAspect="1"/>
            </wp:cNvGraphicFramePr>
            <a:graphic>
              <a:graphicData uri="http://schemas.openxmlformats.org/drawingml/2006/picture">
                <pic:pic>
                  <pic:nvPicPr>
                    <pic:cNvPr id="0" name="A 32849-2023 karta.png"/>
                    <pic:cNvPicPr/>
                  </pic:nvPicPr>
                  <pic:blipFill>
                    <a:blip r:embed="rId16"/>
                    <a:stretch>
                      <a:fillRect/>
                    </a:stretch>
                  </pic:blipFill>
                  <pic:spPr>
                    <a:xfrm>
                      <a:off x="0" y="0"/>
                      <a:ext cx="5486400" cy="537893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6434132, E 335141 i SWEREF 99 TM.</w:t>
      </w:r>
    </w:p>
    <w:p>
      <w:r>
        <w:t>I och inom 25 meter från avverkningsanmälan finns fynd av 12 naturvårdsarter, varav 2 är rödlistade, 4 är fridlysta, 6 är typiska (T) och 6 är signalarter (S): dropptaggsvamp (NT, T), motaggsvamp (NT, T), blåmossa (S, T), kornknutmossa (S, T), sotriska (S), stor revmossa (S), stubbspretmossa (S, T), västlig hakmossa (S), spillkråka (T, §4), kungsfågel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blåmossa (S, T), kornknutmossa (S, T), stubbspretmossa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