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2707-2026 i Lerums kommun</w:t>
      </w:r>
    </w:p>
    <w:p>
      <w:r>
        <w:t>Detta klagomål behandlar höga naturvärden i samrådsanmälan S 2707-2026 i Lerums kommun som inkom 2026-10-16 och omfattar 12,5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S 2707-2026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6410382, E 346087 i SWEREF 99 TM.</w:t>
      </w:r>
    </w:p>
    <w:p>
      <w:r>
        <w:t>I och inom 17 meter från samrådsanmälan finns fynd av 21 naturvårdsarter, varav 11 är rödlistade, 11 är fridlysta, 5 är typiska (T) och 6 är signalarter (S): backsvala (EN, §4), grönfink (VU, §4), läderbagge (VU, §4a), stare (VU, §4), aspögonbagge (NT), ekticka (NT, T), gulbent kamklobagge (NT), korallticka (NT), kricka (NT, §4), ladusvala (NT, §4), sädesärla (NT, §4), Dorcatoma chrysomelina (S), fällmossa (S, T), guldlockmossa (S, T), gulpudrad spiklav (S, T), purpurmylia (S), västlig hakmossa (S), blåsippa (T, §9), kråka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Aspögonbagge (NT)</w:t>
      </w:r>
      <w:r>
        <w:t xml:space="preserve"> är en skalbagge vars larvutveckling sker i svampangripen död ved, ofta i stamhåligheter i levande lövträd, bl.a. sälg, asp, lind, alm, ask och ek. Den fullbildade skalbaggen kläcks på hösten och övervintrar. Den kan sållas fram under vinterhalvåret eller håvas under skymningen på försommaren. Arten påverkas negativt av brist på död ved samt brist på grova eller gamla träd och en minskning av populationen pågår eller förväntas ske. Minskningen avser kvalitén på artens habitat (SLU Artdatabanken, 2026).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Gulbent kamklobagge (NT) </w:t>
      </w:r>
      <w:r>
        <w:t>är en skalbagge vars larvutveckling sker i mycelhaltig ved i ihåliga grova lövträd, främst ek men även lind, bok, lönn och asp. Arten påverkas negativt av brist på död ved och en minskning av populationen pågår eller förväntas ske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