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55351-2022 i Lerums kommun</w:t>
      </w:r>
    </w:p>
    <w:p>
      <w:r>
        <w:t>Detta dokument behandlar höga naturvärden i avverkningsanmälan A 55351-2022 i Lerums kommun. Denna avverkningsanmälan inkom 2022-11-17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grönsångare (NT, §4), kråka (NT, §4), västlig hakmossa (S), skogsödla (§6), vanlig groda (§6), vanlig padda (§6)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55351-2022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6407766, E 337550 i SWEREF 99 TM.</w:t>
      </w:r>
    </w:p>
    <w:p>
      <w:pPr>
        <w:pStyle w:val="Heading1"/>
      </w:pPr>
      <w:r>
        <w:t>Fridlysta arter</w:t>
      </w:r>
    </w:p>
    <w:p>
      <w:r>
        <w:t>Följande fridlysta arter har sina livsmiljöer och växtplatser i den avverkningsanmälda skogen: grönsångare (NT, §4), kråka (NT, §4), skogsödla (§6), vanlig groda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