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412-2023 i Karlsborgs kommun</w:t>
      </w:r>
    </w:p>
    <w:p>
      <w:r>
        <w:t>Detta klagomål behandlar höga naturvärden i avverkningsanmälan A 412-2023 i Karlsborgs kommun som inkom 2023-01-03 och omfattar 8,6 ha.</w:t>
      </w:r>
    </w:p>
    <w:p>
      <w:pPr>
        <w:pStyle w:val="Caption"/>
      </w:pPr>
      <w:r>
        <w:drawing>
          <wp:inline xmlns:a="http://schemas.openxmlformats.org/drawingml/2006/main" xmlns:pic="http://schemas.openxmlformats.org/drawingml/2006/picture">
            <wp:extent cx="5486400" cy="4604051"/>
            <wp:docPr id="1" name="Picture 1"/>
            <wp:cNvGraphicFramePr>
              <a:graphicFrameLocks noChangeAspect="1"/>
            </wp:cNvGraphicFramePr>
            <a:graphic>
              <a:graphicData uri="http://schemas.openxmlformats.org/drawingml/2006/picture">
                <pic:pic>
                  <pic:nvPicPr>
                    <pic:cNvPr id="0" name="A 412-2023 karta.png"/>
                    <pic:cNvPicPr/>
                  </pic:nvPicPr>
                  <pic:blipFill>
                    <a:blip r:embed="rId16"/>
                    <a:stretch>
                      <a:fillRect/>
                    </a:stretch>
                  </pic:blipFill>
                  <pic:spPr>
                    <a:xfrm>
                      <a:off x="0" y="0"/>
                      <a:ext cx="5486400" cy="4604051"/>
                    </a:xfrm>
                    <a:prstGeom prst="rect"/>
                  </pic:spPr>
                </pic:pic>
              </a:graphicData>
            </a:graphic>
          </wp:inline>
        </w:drawing>
      </w:r>
    </w:p>
    <w:p>
      <w:pPr>
        <w:pStyle w:val="Caption"/>
        <w:spacing w:after="240"/>
      </w:pPr>
      <w:r>
        <w:t>Figur 1. Fyndplatser för naturvårdsarter i och inom 14 meter från avverkningsanmälan. Markörer utan svart kant är placerade på fyndplatsen. Markörer med svart kant är placerade vid sidan av fyndplatsen och har ett svart streck som visar fyndplatsens exakta position. Kartans mittpunktskoordinat är N 6474828, E 462541 i SWEREF 99 TM.</w:t>
      </w:r>
    </w:p>
    <w:p>
      <w:r>
        <w:t>I och inom 14 meter från avverkningsanmälan finns fynd av 7 naturvårdsarter, varav 5 är rödlistade, 1 är fridlyst, 4 är typiska (T) och 1 är signalart (S): lakritsmusseron (VU, T), skrovlig taggsvamp (VU), dofttaggsvamp (NT, T), dropptaggsvamp (NT, T), motaggsvamp (NT, T), zontaggsvamp (S) och vanlig padda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Lakritsmusseron (VU)</w:t>
      </w:r>
      <w:r>
        <w:t xml:space="preserve"> bildar mykorrhiza med tall, på torr, sandig, bergig och mager mark i äldre lavtallskog. Den är placerad högst upp i Skogsstyrelsens värdepyramid för bedömning av skog med höga naturvärden och är en mycket bra signalart som indikerar skyddsvärda sandskogar och hällmarksskogar med höga naturvärden. Arten bedöms ha minskat starkt och fortgår att minska, huvudsakligen p.g.a. slutavverkning av kontinuitetsskogar, främst tallhedar. Lakritsmusseron är globalt rödlistad som sårbar (VU) vilket innebär att Sverige har ett internationellt ansvar för arten. Lakritsmusseron är typisk art för </w:t>
      </w:r>
      <w:r>
        <w:rPr>
          <w:i/>
        </w:rPr>
        <w:t>9010 Taiga</w:t>
      </w:r>
      <w:r>
        <w:t xml:space="preserve"> (SLU Artdatabanken, 2024; Nitare &amp; Skogsstyrelsen, 2019; IUCN, 2015).</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 xml:space="preserve">Dofttaggsvamp (NT) </w:t>
      </w:r>
      <w:r>
        <w:t xml:space="preserve">bildar mykorrhiza med gran i framför allt äldre ängsgranskog eller örtrik granskog av frisk lågörttyp. Arten hotas huvudsakligen av slutavverkning och den överlever sannolikt inte en avverkning eftersom den är beroende de levande barrträdens rötter. Troligen missgynnas den av allt för hård gallring eller plockhuggning om huggningen inte efterföljs av skogsbete. Fler örtrika barrskogar, särskilt de med trädkontinuitet, måste skyddas i större utsträckning än vad som tidigare gjorts. Dofttaggsvamp är typisk art för </w:t>
      </w:r>
      <w:r>
        <w:rPr>
          <w:i/>
        </w:rPr>
        <w:t>9050 Näringsrik granskog</w:t>
      </w:r>
      <w:r>
        <w:t xml:space="preserve">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