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29174-2025 i Gullspångs kommun</w:t>
      </w:r>
    </w:p>
    <w:p>
      <w:r>
        <w:t>Detta klagomål behandlar höga naturvärden i avverkningsanmälan A 29174-2025 i Gullspångs kommun som inkom 2025-06-13 och omfattar 2,6 ha.</w:t>
      </w:r>
    </w:p>
    <w:p>
      <w:pPr>
        <w:pStyle w:val="Caption"/>
      </w:pPr>
      <w:r>
        <w:drawing>
          <wp:inline xmlns:a="http://schemas.openxmlformats.org/drawingml/2006/main" xmlns:pic="http://schemas.openxmlformats.org/drawingml/2006/picture">
            <wp:extent cx="5486400" cy="3725473"/>
            <wp:docPr id="1" name="Picture 1"/>
            <wp:cNvGraphicFramePr>
              <a:graphicFrameLocks noChangeAspect="1"/>
            </wp:cNvGraphicFramePr>
            <a:graphic>
              <a:graphicData uri="http://schemas.openxmlformats.org/drawingml/2006/picture">
                <pic:pic>
                  <pic:nvPicPr>
                    <pic:cNvPr id="0" name="A 29174-2025 karta.png"/>
                    <pic:cNvPicPr/>
                  </pic:nvPicPr>
                  <pic:blipFill>
                    <a:blip r:embed="rId16"/>
                    <a:stretch>
                      <a:fillRect/>
                    </a:stretch>
                  </pic:blipFill>
                  <pic:spPr>
                    <a:xfrm>
                      <a:off x="0" y="0"/>
                      <a:ext cx="5486400" cy="372547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6520807, E 455421 i SWEREF 99 TM.</w:t>
      </w:r>
    </w:p>
    <w:p>
      <w:r>
        <w:t>I och inom 10 meter från avverkningsanmälan finns fynd av 7 naturvårdsarter, varav 3 är rödlistade och 7 är fridlysta: stare (VU, §4), gulsparv (NT, §4), järnsparv (NT, §4), dvärgpipistrell (§4a), näktergal (§4), svartvit flugsnappare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